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440507-2025-00228</w:t>
      </w:r>
    </w:p>
    <w:p>
      <w:pPr>
        <w:pStyle w:val="null3"/>
        <w:jc w:val="center"/>
        <w:outlineLvl w:val="3"/>
      </w:pPr>
      <w:r>
        <w:rPr>
          <w:sz w:val="24"/>
          <w:b/>
        </w:rPr>
        <w:t>采购项目编号：</w:t>
      </w:r>
      <w:r>
        <w:rPr>
          <w:sz w:val="24"/>
          <w:b/>
        </w:rPr>
        <w:t>TZC250326STCG022G</w:t>
      </w:r>
    </w:p>
    <w:p>
      <w:pPr>
        <w:pStyle w:val="null3"/>
        <w:jc w:val="center"/>
        <w:outlineLvl w:val="3"/>
      </w:pPr>
      <w:r>
        <w:rPr>
          <w:sz w:val="24"/>
          <w:b/>
        </w:rPr>
        <w:t>项目名称：</w:t>
      </w:r>
      <w:r>
        <w:rPr>
          <w:sz w:val="24"/>
          <w:b/>
        </w:rPr>
        <w:t>汕头市龙湖区司法局购买司法协理员服务项目</w:t>
      </w:r>
    </w:p>
    <w:p>
      <w:pPr>
        <w:pStyle w:val="null3"/>
        <w:jc w:val="center"/>
        <w:outlineLvl w:val="3"/>
      </w:pPr>
      <w:r>
        <w:rPr>
          <w:sz w:val="24"/>
          <w:b/>
        </w:rPr>
        <w:t>采购人：</w:t>
      </w:r>
      <w:r>
        <w:rPr>
          <w:sz w:val="24"/>
          <w:b/>
        </w:rPr>
        <w:t>汕头市龙湖区司法局</w:t>
      </w:r>
    </w:p>
    <w:p>
      <w:pPr>
        <w:pStyle w:val="null3"/>
        <w:jc w:val="center"/>
        <w:outlineLvl w:val="3"/>
      </w:pPr>
      <w:r>
        <w:rPr>
          <w:sz w:val="24"/>
          <w:b/>
        </w:rPr>
        <w:t>采购代理机构：</w:t>
      </w:r>
      <w:r>
        <w:rPr>
          <w:sz w:val="24"/>
          <w:b/>
        </w:rPr>
        <w:t>同致诚工程咨询有限公司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同致诚工程咨询有限公司</w:t>
      </w:r>
      <w:r>
        <w:rPr/>
        <w:t>受</w:t>
      </w:r>
      <w:r>
        <w:rPr/>
        <w:t>汕头市龙湖区司法局</w:t>
      </w:r>
      <w:r>
        <w:rPr/>
        <w:t>的委托，采用</w:t>
      </w:r>
      <w:r>
        <w:rPr/>
        <w:t>公开招标</w:t>
      </w:r>
      <w:r>
        <w:rPr/>
        <w:t>方式组织采购</w:t>
      </w:r>
      <w:r>
        <w:rPr/>
        <w:t>汕头市龙湖区司法局购买司法协理员服务项目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汕头市龙湖区司法局购买司法协理员服务项目</w:t>
      </w:r>
    </w:p>
    <w:p>
      <w:pPr>
        <w:pStyle w:val="null3"/>
        <w:ind w:firstLine="480"/>
      </w:pPr>
      <w:r>
        <w:rPr/>
        <w:t>采购计划编号：</w:t>
      </w:r>
      <w:r>
        <w:rPr/>
        <w:t>440507-2025-00228</w:t>
      </w:r>
    </w:p>
    <w:p>
      <w:pPr>
        <w:pStyle w:val="null3"/>
        <w:ind w:firstLine="480"/>
      </w:pPr>
      <w:r>
        <w:rPr/>
        <w:t>采购项目编号：</w:t>
      </w:r>
      <w:r>
        <w:rPr/>
        <w:t>TZC250326STCG022G</w:t>
      </w:r>
    </w:p>
    <w:p>
      <w:pPr>
        <w:pStyle w:val="null3"/>
        <w:ind w:firstLine="480"/>
      </w:pPr>
      <w:r>
        <w:rPr/>
        <w:t>采购方式：</w:t>
      </w:r>
      <w:r>
        <w:rPr/>
        <w:t>公开招标</w:t>
      </w:r>
    </w:p>
    <w:p>
      <w:pPr>
        <w:pStyle w:val="null3"/>
        <w:ind w:firstLine="480"/>
      </w:pPr>
      <w:r>
        <w:rPr/>
        <w:t>预算金额：</w:t>
      </w:r>
      <w:r>
        <w:rPr/>
        <w:t>1,620,000.00</w:t>
      </w:r>
      <w:r>
        <w:rPr/>
        <w:t>元</w:t>
      </w:r>
    </w:p>
    <w:p>
      <w:pPr>
        <w:pStyle w:val="null3"/>
        <w:outlineLvl w:val="3"/>
      </w:pPr>
      <w:r>
        <w:rPr>
          <w:sz w:val="24"/>
          <w:b/>
        </w:rPr>
        <w:t>2.项目内容及需求情况（采购项目技术规格、参数及要求）</w:t>
      </w:r>
    </w:p>
    <w:p>
      <w:pPr>
        <w:pStyle w:val="null3"/>
      </w:pPr>
      <w:r>
        <w:rPr/>
        <w:t>采购包1(汕头市龙湖区司法局购买司法协理员服务项目):</w:t>
      </w:r>
    </w:p>
    <w:p>
      <w:pPr>
        <w:pStyle w:val="null3"/>
      </w:pPr>
      <w:r>
        <w:rPr/>
        <w:t>采购包预算金额：1,620,000.00元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其他服务</w:t>
            </w:r>
          </w:p>
        </w:tc>
        <w:tc>
          <w:tcPr>
            <w:tcW w:type="dxa" w:w="2136"/>
          </w:tcPr>
          <w:p>
            <w:pPr>
              <w:pStyle w:val="null3"/>
            </w:pPr>
            <w:r>
              <w:rPr/>
              <w:t>汕头市龙湖区司法局购买司法协理员服务项目</w:t>
            </w:r>
          </w:p>
        </w:tc>
        <w:tc>
          <w:tcPr>
            <w:tcW w:type="dxa" w:w="1187"/>
          </w:tcPr>
          <w:p>
            <w:pPr>
              <w:pStyle w:val="null3"/>
            </w:pPr>
            <w:r>
              <w:rPr/>
              <w:t>1(年)</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合同履行期限：本项目采购预算金额一年为1,620,000.00元，服务期为三年，共4,860,000.00元，合同采用一年一签（具体时间以合同签订时间为准）。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提供《汕头市政府采购供应商信用承诺函》。</w:t>
      </w:r>
    </w:p>
    <w:p>
      <w:pPr>
        <w:pStyle w:val="null3"/>
      </w:pPr>
      <w:r>
        <w:rPr/>
        <w:t>3）具有良好的商业信誉和健全的财务会计制度：提供2023年度或2024年度财务状况报告或基本开户行出具的资信证明（2025年1月1日之后成立的单位若不提供承诺函的，则须提供单位成立至今的财务状况报告或基本开户行出具的资信证明）；或提供《汕头市政府采购供应商信用承诺函》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5）参加采购活动前3年内，在经营活动中没有重大违法记录：参照投标（报价）函相关承诺格式内容或提供《汕头市政府采购供应商信用承诺函》。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采购包1（汕头市龙湖区司法局购买司法协理员服务项目）：</w:t>
      </w:r>
      <w:r>
        <w:rPr/>
        <w:t>参与的供应商（联合体）服务全部由符合政策要求的中小企业承接</w:t>
      </w:r>
    </w:p>
    <w:p>
      <w:pPr>
        <w:pStyle w:val="null3"/>
        <w:outlineLvl w:val="3"/>
      </w:pPr>
      <w:r>
        <w:rPr>
          <w:sz w:val="24"/>
          <w:b/>
        </w:rPr>
        <w:t>3.本项目特定的资格要求：</w:t>
      </w:r>
    </w:p>
    <w:p>
      <w:pPr>
        <w:pStyle w:val="null3"/>
      </w:pPr>
      <w:r>
        <w:rPr/>
        <w:t>采购包1（汕头市龙湖区司法局购买司法协理员服务项目）：</w:t>
      </w:r>
    </w:p>
    <w:p>
      <w:pPr>
        <w:pStyle w:val="null3"/>
      </w:pPr>
      <w:r>
        <w:rPr/>
        <w:t>1)供应商未被列入“信用中国”网站(www.creditchina.gov.cn)“记录失信被执行人、重大税收违法失信主体、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汕头市龙湖区司法局</w:t>
      </w:r>
    </w:p>
    <w:p>
      <w:pPr>
        <w:pStyle w:val="null3"/>
        <w:ind w:firstLine="480"/>
      </w:pPr>
      <w:r>
        <w:rPr/>
        <w:t xml:space="preserve"> 地址：</w:t>
      </w:r>
      <w:r>
        <w:rPr/>
        <w:t>汕头市龙湖北路1号龙湖区政府大楼619室</w:t>
      </w:r>
    </w:p>
    <w:p>
      <w:pPr>
        <w:pStyle w:val="null3"/>
        <w:ind w:firstLine="480"/>
      </w:pPr>
      <w:r>
        <w:rPr/>
        <w:t xml:space="preserve"> 联系方式：</w:t>
      </w:r>
      <w:r>
        <w:rPr/>
        <w:t>0754-88460802</w:t>
      </w:r>
    </w:p>
    <w:p>
      <w:pPr>
        <w:pStyle w:val="null3"/>
        <w:outlineLvl w:val="3"/>
      </w:pPr>
      <w:r>
        <w:rPr>
          <w:sz w:val="24"/>
          <w:b/>
        </w:rPr>
        <w:t xml:space="preserve"> 2.采购代理机构信息</w:t>
      </w:r>
    </w:p>
    <w:p>
      <w:pPr>
        <w:pStyle w:val="null3"/>
        <w:ind w:firstLine="480"/>
      </w:pPr>
      <w:r>
        <w:rPr/>
        <w:t xml:space="preserve"> 名称：</w:t>
      </w:r>
      <w:r>
        <w:rPr/>
        <w:t>同致诚工程咨询有限公司</w:t>
      </w:r>
    </w:p>
    <w:p>
      <w:pPr>
        <w:pStyle w:val="null3"/>
        <w:ind w:firstLine="480"/>
      </w:pPr>
      <w:r>
        <w:rPr/>
        <w:t xml:space="preserve"> 地址：</w:t>
      </w:r>
      <w:r>
        <w:rPr/>
        <w:t>汕头市龙湖区珠津工业区珠津一街3号凯撒工业城2幢2楼215号房</w:t>
      </w:r>
    </w:p>
    <w:p>
      <w:pPr>
        <w:pStyle w:val="null3"/>
        <w:ind w:firstLine="480"/>
      </w:pPr>
      <w:r>
        <w:rPr/>
        <w:t xml:space="preserve"> 联系方式：</w:t>
      </w:r>
      <w:r>
        <w:rPr/>
        <w:t>0754-87277009</w:t>
      </w:r>
    </w:p>
    <w:p>
      <w:pPr>
        <w:pStyle w:val="null3"/>
        <w:outlineLvl w:val="3"/>
      </w:pPr>
      <w:r>
        <w:rPr>
          <w:sz w:val="24"/>
          <w:b/>
        </w:rPr>
        <w:t xml:space="preserve"> 3.项目联系方式</w:t>
      </w:r>
    </w:p>
    <w:p>
      <w:pPr>
        <w:pStyle w:val="null3"/>
        <w:ind w:firstLine="480"/>
      </w:pPr>
      <w:r>
        <w:rPr/>
        <w:t xml:space="preserve"> 项目联系人：</w:t>
      </w:r>
      <w:r>
        <w:rPr/>
        <w:t>林工、纪工</w:t>
      </w:r>
    </w:p>
    <w:p>
      <w:pPr>
        <w:pStyle w:val="null3"/>
        <w:ind w:firstLine="480"/>
      </w:pPr>
      <w:r>
        <w:rPr/>
        <w:t xml:space="preserve"> 电话：</w:t>
      </w:r>
      <w:r>
        <w:rPr/>
        <w:t>0754-87277009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同致诚工程咨询有限公司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color w:val="000000"/>
        </w:rPr>
        <w:t>为优化现有专职人民调解员、社区矫正工作者队伍资源，理顺司法协理员制度试点工作，向社会购买司法协理员服务。</w:t>
      </w:r>
    </w:p>
    <w:p>
      <w:pPr>
        <w:pStyle w:val="null3"/>
      </w:pPr>
      <w:r>
        <w:rPr/>
        <w:t>采购包1（汕头市龙湖区司法局购买司法协理员服务项目）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本项目采购预算金额一年为1,620,000.00元，服务期为三年，共4,860,000.00元，合同采用一年一签（具体时间以合同签订时间为准）。</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100%，在合同期内，采购人按月支付合同约定相关费用给中标供应商，中标供应商应于每月的10个日历日前向采购人开具上一个月服务费用的合法发票，经采购人审核无误后10个日历日内将费用以转帐方式支付给中标供应商。 注：乙方应理解政府部门付款的相关程序，因甲方使用的是财政资金，甲方在前款规定的付款时间为向政府采购支付部门提出办理财政支付申请手续的时间（不含政府财政支付部门审核的时间），在规定时间内提出支付申请手续后即视为甲方已经按期支付。 如项目发生合同融资，采购人应当将合同款项支付到合同约定收款账户。。</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采购人按照本项目的服务要求和相关规定，每年12月份对中标供应商进行履约考核。采购人将通过中标供应商和所拟派服务人员是否按照采购人要求和本项目需求提供服务和服务情况等内容进行履约考核，若考核不合格，采购人有权要求中标供应商进行整改，若整改之后仍不合格，采购人有权终止合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其他服务</w:t>
            </w:r>
          </w:p>
        </w:tc>
        <w:tc>
          <w:tcPr>
            <w:tcW w:type="dxa" w:w="933"/>
          </w:tcPr>
          <w:p>
            <w:pPr>
              <w:pStyle w:val="null3"/>
              <w:jc w:val="left"/>
            </w:pPr>
            <w:r>
              <w:rPr/>
              <w:t>汕头市龙湖区司法局购买司法协理员服务项目</w:t>
            </w:r>
          </w:p>
        </w:tc>
        <w:tc>
          <w:tcPr>
            <w:tcW w:type="dxa" w:w="933"/>
          </w:tcPr>
          <w:p>
            <w:pPr>
              <w:pStyle w:val="null3"/>
              <w:jc w:val="left"/>
            </w:pPr>
            <w:r>
              <w:rPr/>
              <w:t>年</w:t>
            </w:r>
          </w:p>
        </w:tc>
        <w:tc>
          <w:tcPr>
            <w:tcW w:type="dxa" w:w="933"/>
          </w:tcPr>
          <w:p>
            <w:pPr>
              <w:pStyle w:val="null3"/>
              <w:jc w:val="right"/>
            </w:pPr>
            <w:r>
              <w:rPr/>
              <w:t>1.00</w:t>
            </w:r>
          </w:p>
        </w:tc>
        <w:tc>
          <w:tcPr>
            <w:tcW w:type="dxa" w:w="933"/>
          </w:tcPr>
          <w:p>
            <w:pPr>
              <w:pStyle w:val="null3"/>
              <w:jc w:val="right"/>
            </w:pPr>
            <w:r>
              <w:rPr/>
              <w:t>1,620,000.00</w:t>
            </w:r>
          </w:p>
        </w:tc>
        <w:tc>
          <w:tcPr>
            <w:tcW w:type="dxa" w:w="933"/>
          </w:tcPr>
          <w:p>
            <w:pPr>
              <w:pStyle w:val="null3"/>
              <w:jc w:val="right"/>
            </w:pPr>
            <w:r>
              <w:rPr/>
              <w:t>1,620,000.00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汕头市龙湖区司法局购买司法协理员服务项目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color w:val="000000"/>
              </w:rPr>
              <w:t>一、主要服务职责</w:t>
            </w:r>
          </w:p>
          <w:p>
            <w:pPr>
              <w:pStyle w:val="null3"/>
              <w:jc w:val="both"/>
            </w:pPr>
            <w:r>
              <w:rPr>
                <w:sz w:val="24"/>
                <w:color w:val="000000"/>
              </w:rPr>
              <w:t>1、协助基层政府法律事务等法治政府建设工作；</w:t>
            </w:r>
          </w:p>
          <w:p>
            <w:pPr>
              <w:pStyle w:val="null3"/>
              <w:jc w:val="both"/>
            </w:pPr>
            <w:r>
              <w:rPr>
                <w:sz w:val="24"/>
                <w:color w:val="000000"/>
              </w:rPr>
              <w:t>2、协助组织开展法治宣传教育活动等依法治理工作；</w:t>
            </w:r>
          </w:p>
          <w:p>
            <w:pPr>
              <w:pStyle w:val="null3"/>
              <w:jc w:val="both"/>
            </w:pPr>
            <w:r>
              <w:rPr>
                <w:sz w:val="24"/>
                <w:color w:val="000000"/>
              </w:rPr>
              <w:t>3、协助开展公共法律服务工作；</w:t>
            </w:r>
          </w:p>
          <w:p>
            <w:pPr>
              <w:pStyle w:val="null3"/>
              <w:jc w:val="both"/>
            </w:pPr>
            <w:r>
              <w:rPr>
                <w:sz w:val="24"/>
                <w:color w:val="000000"/>
              </w:rPr>
              <w:t>4、协助开展联系沟通社区矫正对象、开展教育矫正帮扶等专业化工作；</w:t>
            </w:r>
          </w:p>
          <w:p>
            <w:pPr>
              <w:pStyle w:val="null3"/>
              <w:jc w:val="both"/>
            </w:pPr>
            <w:r>
              <w:rPr>
                <w:sz w:val="24"/>
                <w:color w:val="000000"/>
              </w:rPr>
              <w:t>5、协助做好刑满释放人员安置帮教等工作；</w:t>
            </w:r>
          </w:p>
          <w:p>
            <w:pPr>
              <w:pStyle w:val="null3"/>
              <w:jc w:val="both"/>
            </w:pPr>
            <w:r>
              <w:rPr>
                <w:sz w:val="24"/>
                <w:color w:val="000000"/>
              </w:rPr>
              <w:t>6、做好各类信息采集、数据统计、文字记录等工作及司法行政机关交办的其他辅助性工作。</w:t>
            </w:r>
          </w:p>
          <w:p>
            <w:pPr>
              <w:pStyle w:val="null3"/>
              <w:jc w:val="both"/>
            </w:pPr>
            <w:r>
              <w:rPr>
                <w:sz w:val="24"/>
                <w:color w:val="000000"/>
              </w:rPr>
              <w:t>二、汕头市龙湖区司法局购买司法协理员服务项目量化评价表</w:t>
            </w:r>
          </w:p>
          <w:tbl>
            <w:tblPr>
              <w:tblBorders>
                <w:top w:val="none" w:color="000000" w:sz="4"/>
                <w:left w:val="none" w:color="000000" w:sz="4"/>
                <w:bottom w:val="none" w:color="000000" w:sz="4"/>
                <w:right w:val="none" w:color="000000" w:sz="4"/>
                <w:insideH w:val="none"/>
                <w:insideV w:val="none"/>
              </w:tblBorders>
            </w:tblPr>
            <w:tblGrid>
              <w:gridCol w:w="762"/>
              <w:gridCol w:w="795"/>
              <w:gridCol w:w="2995"/>
              <w:gridCol w:w="523"/>
              <w:gridCol w:w="261"/>
              <w:gridCol w:w="261"/>
            </w:tblGrid>
            <w:tr>
              <w:tc>
                <w:tcPr>
                  <w:tcW w:type="dxa" w:w="762"/>
                  <w:tcBorders>
                    <w:top w:val="singl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4"/>
                      <w:color w:val="000000"/>
                    </w:rPr>
                    <w:t>考评</w:t>
                  </w:r>
                </w:p>
                <w:p>
                  <w:pPr>
                    <w:pStyle w:val="null3"/>
                    <w:jc w:val="center"/>
                  </w:pPr>
                  <w:r>
                    <w:rPr>
                      <w:sz w:val="24"/>
                      <w:color w:val="000000"/>
                    </w:rPr>
                    <w:t>项目</w:t>
                  </w:r>
                </w:p>
              </w:tc>
              <w:tc>
                <w:tcPr>
                  <w:tcW w:type="dxa" w:w="795"/>
                  <w:tcBorders>
                    <w:top w:val="singl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4"/>
                      <w:color w:val="000000"/>
                    </w:rPr>
                    <w:t>质量</w:t>
                  </w:r>
                </w:p>
                <w:p>
                  <w:pPr>
                    <w:pStyle w:val="null3"/>
                    <w:jc w:val="center"/>
                  </w:pPr>
                  <w:r>
                    <w:rPr>
                      <w:sz w:val="24"/>
                      <w:color w:val="000000"/>
                    </w:rPr>
                    <w:t>标准</w:t>
                  </w:r>
                </w:p>
              </w:tc>
              <w:tc>
                <w:tcPr>
                  <w:tcW w:type="dxa" w:w="2995"/>
                  <w:tcBorders>
                    <w:top w:val="singl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4"/>
                      <w:color w:val="000000"/>
                    </w:rPr>
                    <w:t>评价内容和方法</w:t>
                  </w:r>
                </w:p>
              </w:tc>
              <w:tc>
                <w:tcPr>
                  <w:tcW w:type="dxa" w:w="523"/>
                  <w:tcBorders>
                    <w:top w:val="singl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4"/>
                      <w:color w:val="000000"/>
                    </w:rPr>
                    <w:t>分值</w:t>
                  </w:r>
                </w:p>
              </w:tc>
              <w:tc>
                <w:tcPr>
                  <w:tcW w:type="dxa" w:w="261"/>
                  <w:tcBorders>
                    <w:top w:val="singl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4"/>
                      <w:color w:val="000000"/>
                    </w:rPr>
                    <w:t>扣分</w:t>
                  </w:r>
                </w:p>
              </w:tc>
              <w:tc>
                <w:tcPr>
                  <w:tcW w:type="dxa" w:w="261"/>
                  <w:tcBorders>
                    <w:top w:val="singl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4"/>
                      <w:color w:val="000000"/>
                    </w:rPr>
                    <w:t>说明</w:t>
                  </w:r>
                </w:p>
              </w:tc>
            </w:tr>
            <w:tr>
              <w:tc>
                <w:tcPr>
                  <w:tcW w:type="dxa" w:w="762"/>
                  <w:vMerge w:val="restart"/>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4"/>
                      <w:color w:val="000000"/>
                    </w:rPr>
                    <w:t>服务</w:t>
                  </w:r>
                </w:p>
                <w:p>
                  <w:pPr>
                    <w:pStyle w:val="null3"/>
                    <w:jc w:val="center"/>
                  </w:pPr>
                  <w:r>
                    <w:rPr>
                      <w:sz w:val="24"/>
                      <w:color w:val="000000"/>
                    </w:rPr>
                    <w:t>质量</w:t>
                  </w:r>
                </w:p>
                <w:p>
                  <w:pPr>
                    <w:pStyle w:val="null3"/>
                    <w:jc w:val="center"/>
                  </w:pPr>
                  <w:r>
                    <w:rPr>
                      <w:sz w:val="24"/>
                      <w:color w:val="000000"/>
                    </w:rPr>
                    <w:t>及合</w:t>
                  </w:r>
                </w:p>
                <w:p>
                  <w:pPr>
                    <w:pStyle w:val="null3"/>
                    <w:jc w:val="center"/>
                  </w:pPr>
                  <w:r>
                    <w:rPr>
                      <w:sz w:val="24"/>
                      <w:color w:val="000000"/>
                    </w:rPr>
                    <w:t>同履</w:t>
                  </w:r>
                </w:p>
                <w:p>
                  <w:pPr>
                    <w:pStyle w:val="null3"/>
                    <w:jc w:val="center"/>
                  </w:pPr>
                  <w:r>
                    <w:rPr>
                      <w:sz w:val="24"/>
                      <w:color w:val="000000"/>
                    </w:rPr>
                    <w:t>行情</w:t>
                  </w:r>
                </w:p>
                <w:p>
                  <w:pPr>
                    <w:pStyle w:val="null3"/>
                    <w:jc w:val="center"/>
                  </w:pPr>
                  <w:r>
                    <w:rPr>
                      <w:sz w:val="24"/>
                      <w:color w:val="000000"/>
                    </w:rPr>
                    <w:t>况</w:t>
                  </w:r>
                </w:p>
              </w:tc>
              <w:tc>
                <w:tcPr>
                  <w:tcW w:type="dxa" w:w="79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4"/>
                      <w:color w:val="000000"/>
                    </w:rPr>
                    <w:t>服务岗位提供</w:t>
                  </w:r>
                </w:p>
              </w:tc>
              <w:tc>
                <w:tcPr>
                  <w:tcW w:type="dxa" w:w="299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4"/>
                      <w:color w:val="000000"/>
                    </w:rPr>
                    <w:t>未按约定合同服务需求及相应的实际岗位数量提供服务，每次扣</w:t>
                  </w:r>
                  <w:r>
                    <w:rPr>
                      <w:sz w:val="24"/>
                      <w:color w:val="000000"/>
                    </w:rPr>
                    <w:t>2分。</w:t>
                  </w:r>
                </w:p>
              </w:tc>
              <w:tc>
                <w:tcPr>
                  <w:tcW w:type="dxa" w:w="523"/>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4"/>
                      <w:color w:val="000000"/>
                    </w:rPr>
                    <w:t>50</w:t>
                  </w:r>
                </w:p>
              </w:tc>
              <w:tc>
                <w:tcPr>
                  <w:tcW w:type="dxa" w:w="261"/>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p>
              </w:tc>
              <w:tc>
                <w:tcPr>
                  <w:tcW w:type="dxa" w:w="261"/>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tc>
            </w:tr>
            <w:tr>
              <w:tc>
                <w:tcPr>
                  <w:tcW w:type="dxa" w:w="762"/>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4"/>
                      <w:color w:val="000000"/>
                    </w:rPr>
                    <w:t>服务标准达成</w:t>
                  </w:r>
                </w:p>
              </w:tc>
              <w:tc>
                <w:tcPr>
                  <w:tcW w:type="dxa" w:w="299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4"/>
                      <w:color w:val="000000"/>
                    </w:rPr>
                    <w:t>未按本合同岗位服务内容执行的，每项每次扣</w:t>
                  </w:r>
                  <w:r>
                    <w:rPr>
                      <w:sz w:val="24"/>
                      <w:color w:val="000000"/>
                    </w:rPr>
                    <w:t>1分。</w:t>
                  </w:r>
                </w:p>
              </w:tc>
              <w:tc>
                <w:tcPr>
                  <w:tcW w:type="dxa" w:w="523"/>
                  <w:vMerge/>
                  <w:tcBorders>
                    <w:top w:val="none" w:color="000000" w:sz="4"/>
                    <w:left w:val="none" w:color="000000" w:sz="4"/>
                    <w:bottom w:val="single" w:color="000000" w:sz="4"/>
                    <w:right w:val="single" w:color="000000" w:sz="4"/>
                  </w:tcBorders>
                </w:tcPr>
                <w:p/>
              </w:tc>
              <w:tc>
                <w:tcPr>
                  <w:tcW w:type="dxa" w:w="261"/>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p>
              </w:tc>
              <w:tc>
                <w:tcPr>
                  <w:tcW w:type="dxa" w:w="261"/>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tc>
            </w:tr>
            <w:tr>
              <w:tc>
                <w:tcPr>
                  <w:tcW w:type="dxa" w:w="762"/>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4"/>
                      <w:color w:val="000000"/>
                    </w:rPr>
                    <w:t>合同履行情况</w:t>
                  </w:r>
                </w:p>
              </w:tc>
              <w:tc>
                <w:tcPr>
                  <w:tcW w:type="dxa" w:w="299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4"/>
                      <w:color w:val="000000"/>
                    </w:rPr>
                    <w:t>未按合同条款要求履行合同，每项扣</w:t>
                  </w:r>
                  <w:r>
                    <w:rPr>
                      <w:sz w:val="24"/>
                      <w:color w:val="000000"/>
                    </w:rPr>
                    <w:t>2分。</w:t>
                  </w:r>
                </w:p>
              </w:tc>
              <w:tc>
                <w:tcPr>
                  <w:tcW w:type="dxa" w:w="523"/>
                  <w:vMerge/>
                  <w:tcBorders>
                    <w:top w:val="none" w:color="000000" w:sz="4"/>
                    <w:left w:val="none" w:color="000000" w:sz="4"/>
                    <w:bottom w:val="single" w:color="000000" w:sz="4"/>
                    <w:right w:val="single" w:color="000000" w:sz="4"/>
                  </w:tcBorders>
                </w:tcPr>
                <w:p/>
              </w:tc>
              <w:tc>
                <w:tcPr>
                  <w:tcW w:type="dxa" w:w="261"/>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p>
              </w:tc>
              <w:tc>
                <w:tcPr>
                  <w:tcW w:type="dxa" w:w="261"/>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tc>
            </w:tr>
            <w:tr>
              <w:tc>
                <w:tcPr>
                  <w:tcW w:type="dxa" w:w="762"/>
                  <w:vMerge w:val="restart"/>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4"/>
                      <w:color w:val="000000"/>
                    </w:rPr>
                    <w:t>过程控制</w:t>
                  </w:r>
                </w:p>
              </w:tc>
              <w:tc>
                <w:tcPr>
                  <w:tcW w:type="dxa" w:w="79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4"/>
                      <w:color w:val="000000"/>
                    </w:rPr>
                    <w:t>服务反应速度</w:t>
                  </w:r>
                </w:p>
              </w:tc>
              <w:tc>
                <w:tcPr>
                  <w:tcW w:type="dxa" w:w="299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4"/>
                      <w:color w:val="000000"/>
                    </w:rPr>
                    <w:t>未积极响应服务需求的，每次扣</w:t>
                  </w:r>
                  <w:r>
                    <w:rPr>
                      <w:sz w:val="24"/>
                      <w:color w:val="000000"/>
                    </w:rPr>
                    <w:t>2分。</w:t>
                  </w:r>
                </w:p>
              </w:tc>
              <w:tc>
                <w:tcPr>
                  <w:tcW w:type="dxa" w:w="523"/>
                  <w:vMerge w:val="restart"/>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4"/>
                      <w:color w:val="000000"/>
                    </w:rPr>
                    <w:t>50</w:t>
                  </w:r>
                </w:p>
              </w:tc>
              <w:tc>
                <w:tcPr>
                  <w:tcW w:type="dxa" w:w="261"/>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p>
              </w:tc>
              <w:tc>
                <w:tcPr>
                  <w:tcW w:type="dxa" w:w="261"/>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tc>
            </w:tr>
            <w:tr>
              <w:tc>
                <w:tcPr>
                  <w:tcW w:type="dxa" w:w="762"/>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4"/>
                      <w:color w:val="000000"/>
                    </w:rPr>
                    <w:t>检查</w:t>
                  </w:r>
                </w:p>
                <w:p>
                  <w:pPr>
                    <w:pStyle w:val="null3"/>
                    <w:jc w:val="center"/>
                  </w:pPr>
                  <w:r>
                    <w:rPr>
                      <w:sz w:val="24"/>
                      <w:color w:val="000000"/>
                    </w:rPr>
                    <w:t>监督</w:t>
                  </w:r>
                </w:p>
              </w:tc>
              <w:tc>
                <w:tcPr>
                  <w:tcW w:type="dxa" w:w="299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4"/>
                      <w:color w:val="000000"/>
                    </w:rPr>
                    <w:t>公司用工管理检查监督不力，每发现一次扣</w:t>
                  </w:r>
                  <w:r>
                    <w:rPr>
                      <w:sz w:val="24"/>
                      <w:color w:val="000000"/>
                    </w:rPr>
                    <w:t>2分。</w:t>
                  </w:r>
                </w:p>
              </w:tc>
              <w:tc>
                <w:tcPr>
                  <w:tcW w:type="dxa" w:w="523"/>
                  <w:vMerge/>
                  <w:tcBorders>
                    <w:top w:val="none" w:color="000000" w:sz="4"/>
                    <w:left w:val="none" w:color="000000" w:sz="4"/>
                    <w:bottom w:val="single" w:color="000000" w:sz="4"/>
                    <w:right w:val="single" w:color="000000" w:sz="4"/>
                  </w:tcBorders>
                </w:tcPr>
                <w:p/>
              </w:tc>
              <w:tc>
                <w:tcPr>
                  <w:tcW w:type="dxa" w:w="261"/>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p>
              </w:tc>
              <w:tc>
                <w:tcPr>
                  <w:tcW w:type="dxa" w:w="261"/>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tc>
            </w:tr>
            <w:tr>
              <w:tc>
                <w:tcPr>
                  <w:tcW w:type="dxa" w:w="762"/>
                  <w:vMerge/>
                  <w:tcBorders>
                    <w:top w:val="none" w:color="000000" w:sz="4"/>
                    <w:left w:val="single" w:color="000000" w:sz="4"/>
                    <w:bottom w:val="single" w:color="000000" w:sz="4"/>
                    <w:right w:val="single" w:color="000000" w:sz="4"/>
                  </w:tcBorders>
                </w:tcPr>
                <w:p/>
              </w:tc>
              <w:tc>
                <w:tcPr>
                  <w:tcW w:type="dxa" w:w="79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4"/>
                      <w:color w:val="000000"/>
                    </w:rPr>
                    <w:t>持续</w:t>
                  </w:r>
                </w:p>
                <w:p>
                  <w:pPr>
                    <w:pStyle w:val="null3"/>
                    <w:jc w:val="center"/>
                  </w:pPr>
                  <w:r>
                    <w:rPr>
                      <w:sz w:val="24"/>
                      <w:color w:val="000000"/>
                    </w:rPr>
                    <w:t>改进</w:t>
                  </w:r>
                </w:p>
                <w:p>
                  <w:pPr>
                    <w:pStyle w:val="null3"/>
                    <w:jc w:val="center"/>
                  </w:pPr>
                  <w:r>
                    <w:rPr>
                      <w:sz w:val="24"/>
                      <w:color w:val="000000"/>
                    </w:rPr>
                    <w:t>情况</w:t>
                  </w:r>
                </w:p>
              </w:tc>
              <w:tc>
                <w:tcPr>
                  <w:tcW w:type="dxa" w:w="299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4"/>
                      <w:color w:val="000000"/>
                    </w:rPr>
                    <w:t>1.重复出现的投诉，每次加扣2分；</w:t>
                  </w:r>
                </w:p>
                <w:p>
                  <w:pPr>
                    <w:pStyle w:val="null3"/>
                    <w:jc w:val="both"/>
                  </w:pPr>
                  <w:r>
                    <w:rPr>
                      <w:sz w:val="24"/>
                      <w:color w:val="000000"/>
                    </w:rPr>
                    <w:t>2.出现甲方要求整改的事项，每次加扣2分。</w:t>
                  </w:r>
                </w:p>
              </w:tc>
              <w:tc>
                <w:tcPr>
                  <w:tcW w:type="dxa" w:w="523"/>
                  <w:vMerge/>
                  <w:tcBorders>
                    <w:top w:val="none" w:color="000000" w:sz="4"/>
                    <w:left w:val="none" w:color="000000" w:sz="4"/>
                    <w:bottom w:val="single" w:color="000000" w:sz="4"/>
                    <w:right w:val="single" w:color="000000" w:sz="4"/>
                  </w:tcBorders>
                </w:tcPr>
                <w:p/>
              </w:tc>
              <w:tc>
                <w:tcPr>
                  <w:tcW w:type="dxa" w:w="261"/>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p>
              </w:tc>
              <w:tc>
                <w:tcPr>
                  <w:tcW w:type="dxa" w:w="261"/>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tc>
            </w:tr>
            <w:tr>
              <w:tc>
                <w:tcPr>
                  <w:tcW w:type="dxa" w:w="1557"/>
                  <w:gridSpan w:val="2"/>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4"/>
                      <w:color w:val="000000"/>
                    </w:rPr>
                    <w:t>关键事件</w:t>
                  </w:r>
                </w:p>
                <w:p>
                  <w:pPr>
                    <w:pStyle w:val="null3"/>
                    <w:jc w:val="center"/>
                  </w:pPr>
                  <w:r>
                    <w:rPr>
                      <w:sz w:val="24"/>
                      <w:color w:val="000000"/>
                    </w:rPr>
                    <w:t>考评项</w:t>
                  </w:r>
                  <w:r>
                    <w:rPr>
                      <w:sz w:val="24"/>
                      <w:color w:val="000000"/>
                    </w:rPr>
                    <w:t>(扣分)</w:t>
                  </w:r>
                </w:p>
              </w:tc>
              <w:tc>
                <w:tcPr>
                  <w:tcW w:type="dxa" w:w="299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4"/>
                      <w:color w:val="000000"/>
                    </w:rPr>
                    <w:t>出现影响服务质量的关键事件，加扣分项，视程度处理。</w:t>
                  </w:r>
                </w:p>
              </w:tc>
              <w:tc>
                <w:tcPr>
                  <w:tcW w:type="dxa" w:w="52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p>
              </w:tc>
              <w:tc>
                <w:tcPr>
                  <w:tcW w:type="dxa" w:w="261"/>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tc>
              <w:tc>
                <w:tcPr>
                  <w:tcW w:type="dxa" w:w="261"/>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tc>
            </w:tr>
            <w:tr>
              <w:tc>
                <w:tcPr>
                  <w:tcW w:type="dxa" w:w="1557"/>
                  <w:gridSpan w:val="2"/>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4"/>
                      <w:color w:val="000000"/>
                    </w:rPr>
                    <w:t>关键事件</w:t>
                  </w:r>
                </w:p>
                <w:p>
                  <w:pPr>
                    <w:pStyle w:val="null3"/>
                    <w:jc w:val="center"/>
                  </w:pPr>
                  <w:r>
                    <w:rPr>
                      <w:sz w:val="24"/>
                      <w:color w:val="000000"/>
                    </w:rPr>
                    <w:t>考评项</w:t>
                  </w:r>
                  <w:r>
                    <w:rPr>
                      <w:sz w:val="24"/>
                      <w:color w:val="000000"/>
                    </w:rPr>
                    <w:t>(加分)</w:t>
                  </w:r>
                </w:p>
              </w:tc>
              <w:tc>
                <w:tcPr>
                  <w:tcW w:type="dxa" w:w="299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r>
                    <w:rPr>
                      <w:sz w:val="24"/>
                      <w:color w:val="000000"/>
                    </w:rPr>
                    <w:t>服务工作突出，表现优秀，加分项。</w:t>
                  </w:r>
                </w:p>
              </w:tc>
              <w:tc>
                <w:tcPr>
                  <w:tcW w:type="dxa" w:w="52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p>
              </w:tc>
              <w:tc>
                <w:tcPr>
                  <w:tcW w:type="dxa" w:w="261"/>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tc>
              <w:tc>
                <w:tcPr>
                  <w:tcW w:type="dxa" w:w="261"/>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tc>
            </w:tr>
            <w:tr>
              <w:tc>
                <w:tcPr>
                  <w:tcW w:type="dxa" w:w="762"/>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4"/>
                      <w:color w:val="000000"/>
                    </w:rPr>
                    <w:t>合计</w:t>
                  </w:r>
                </w:p>
              </w:tc>
              <w:tc>
                <w:tcPr>
                  <w:tcW w:type="dxa" w:w="79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p>
              </w:tc>
              <w:tc>
                <w:tcPr>
                  <w:tcW w:type="dxa" w:w="299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4"/>
                      <w:color w:val="000000"/>
                    </w:rPr>
                    <w:t>100分</w:t>
                  </w:r>
                </w:p>
              </w:tc>
              <w:tc>
                <w:tcPr>
                  <w:tcW w:type="dxa" w:w="52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4"/>
                      <w:color w:val="000000"/>
                    </w:rPr>
                    <w:t>考评得分</w:t>
                  </w:r>
                </w:p>
              </w:tc>
              <w:tc>
                <w:tcPr>
                  <w:tcW w:type="dxa" w:w="522"/>
                  <w:gridSpan w:val="2"/>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4"/>
                      <w:color w:val="000000"/>
                    </w:rPr>
                    <w:t>100分</w:t>
                  </w:r>
                </w:p>
              </w:tc>
            </w:tr>
            <w:tr>
              <w:tc>
                <w:tcPr>
                  <w:tcW w:type="dxa" w:w="762"/>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4"/>
                      <w:color w:val="000000"/>
                    </w:rPr>
                    <w:t>评价方人员代表签名</w:t>
                  </w:r>
                </w:p>
              </w:tc>
              <w:tc>
                <w:tcPr>
                  <w:tcW w:type="dxa" w:w="79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p>
              </w:tc>
              <w:tc>
                <w:tcPr>
                  <w:tcW w:type="dxa" w:w="299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4"/>
                      <w:color w:val="000000"/>
                    </w:rPr>
                    <w:t>受评价方</w:t>
                  </w:r>
                </w:p>
                <w:p>
                  <w:pPr>
                    <w:pStyle w:val="null3"/>
                    <w:jc w:val="center"/>
                  </w:pPr>
                  <w:r>
                    <w:rPr>
                      <w:sz w:val="24"/>
                      <w:color w:val="000000"/>
                    </w:rPr>
                    <w:t>人员代表</w:t>
                  </w:r>
                </w:p>
                <w:p>
                  <w:pPr>
                    <w:pStyle w:val="null3"/>
                    <w:jc w:val="center"/>
                  </w:pPr>
                  <w:r>
                    <w:rPr>
                      <w:sz w:val="24"/>
                      <w:color w:val="000000"/>
                    </w:rPr>
                    <w:t>签名</w:t>
                  </w:r>
                </w:p>
              </w:tc>
              <w:tc>
                <w:tcPr>
                  <w:tcW w:type="dxa" w:w="1045"/>
                  <w:gridSpan w:val="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p>
              </w:tc>
            </w:tr>
            <w:tr>
              <w:tc>
                <w:tcPr>
                  <w:tcW w:type="dxa" w:w="762"/>
                  <w:tcBorders>
                    <w:top w:val="none" w:color="000000" w:sz="4"/>
                    <w:left w:val="singl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4"/>
                      <w:color w:val="000000"/>
                    </w:rPr>
                    <w:t>评价方单位确认</w:t>
                  </w:r>
                </w:p>
              </w:tc>
              <w:tc>
                <w:tcPr>
                  <w:tcW w:type="dxa" w:w="79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p>
              </w:tc>
              <w:tc>
                <w:tcPr>
                  <w:tcW w:type="dxa" w:w="2995"/>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center"/>
                  </w:pPr>
                  <w:r>
                    <w:rPr>
                      <w:sz w:val="24"/>
                      <w:color w:val="000000"/>
                    </w:rPr>
                    <w:t>受评价方单位确认</w:t>
                  </w:r>
                </w:p>
              </w:tc>
              <w:tc>
                <w:tcPr>
                  <w:tcW w:type="dxa" w:w="1045"/>
                  <w:gridSpan w:val="3"/>
                  <w:tcBorders>
                    <w:top w:val="none" w:color="000000" w:sz="4"/>
                    <w:left w:val="none" w:color="000000" w:sz="4"/>
                    <w:bottom w:val="single" w:color="000000" w:sz="4"/>
                    <w:right w:val="single" w:color="000000" w:sz="4"/>
                  </w:tcBorders>
                  <w:shd w:fill="FFFFFF"/>
                  <w:tcMar>
                    <w:top w:type="dxa" w:w="0"/>
                    <w:left w:type="dxa" w:w="0"/>
                    <w:bottom w:type="dxa" w:w="0"/>
                    <w:right w:type="dxa" w:w="0"/>
                  </w:tcMar>
                  <w:vAlign w:val="top"/>
                </w:tcPr>
                <w:p>
                  <w:pPr>
                    <w:pStyle w:val="null3"/>
                    <w:jc w:val="both"/>
                  </w:pPr>
                </w:p>
              </w:tc>
            </w:tr>
          </w:tbl>
          <w:p>
            <w:pPr>
              <w:pStyle w:val="null3"/>
              <w:jc w:val="both"/>
            </w:pPr>
            <w:r>
              <w:rPr>
                <w:sz w:val="24"/>
                <w:color w:val="000000"/>
              </w:rPr>
              <w:t>说明：评价分值</w:t>
            </w:r>
            <w:r>
              <w:rPr>
                <w:sz w:val="24"/>
                <w:color w:val="000000"/>
              </w:rPr>
              <w:t>80分至100分的为合格，按100%支付服务管理费用；60分至79分的 为基本合格，按80%支付服务管理费用；60分以下的为不合格，按50%支付服务管理费 用。评价分值低于80分时，乙方按支付比例退回甲方多预付的服务管理费用。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1.采购代理机构：本项目是指同致诚工程咨询有限公司，负责整个采购活动的组织，依法负责编制和发布招标文件，对招标文件拥有最终的解释权，不以任何身份出任评标委员会成员。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汕头市龙湖区司法局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现场电子开标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2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发改价格[2011]534号文件《国家发展改革委关于降低部分建设项目收费标准规范收费行为等有关问题的通知》及《国家发展改革委关于进一步放开建设项目专业服务价格的通知发改价格〔2015〕299号》规定，本项目代理服务费约定为人民币15,000.00元（大写壹万伍仟元整）。</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向采购人收取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报价要求，投标人按项目采购预算金额一年为1620000.00元作为最高限价进行报价。</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同致诚工程咨询有限公司</w:t>
      </w:r>
      <w:r>
        <w:rPr/>
        <w:t>代收。具体操作要求详见</w:t>
      </w:r>
      <w:r>
        <w:rPr/>
        <w:t>同致诚工程咨询有限公司</w:t>
      </w:r>
      <w:r>
        <w:rPr/>
        <w:t>有关指引，递交事宜请自行咨询</w:t>
      </w:r>
      <w:r>
        <w:rPr/>
        <w:t>同致诚工程咨询有限公司</w:t>
      </w:r>
      <w:r>
        <w:rPr/>
        <w:t>；请各投标人在投标文件递交截止时间前按须知前附表规定的金额递交至</w:t>
      </w:r>
      <w:r>
        <w:rPr/>
        <w:t>同致诚工程咨询有限公司</w:t>
      </w:r>
      <w:r>
        <w:rPr/>
        <w:t>，到账情况以开标时</w:t>
      </w:r>
      <w:r>
        <w:rPr/>
        <w:t>同致诚工程咨询有限公司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林工、纪工</w:t>
      </w:r>
    </w:p>
    <w:p>
      <w:pPr>
        <w:pStyle w:val="null3"/>
        <w:ind w:firstLine="480"/>
      </w:pPr>
      <w:r>
        <w:rPr/>
        <w:t>电话：</w:t>
      </w:r>
      <w:r>
        <w:rPr/>
        <w:t>0754-87277009</w:t>
      </w:r>
    </w:p>
    <w:p>
      <w:pPr>
        <w:pStyle w:val="null3"/>
        <w:ind w:firstLine="480"/>
      </w:pPr>
      <w:r>
        <w:rPr/>
        <w:t>传真：</w:t>
      </w:r>
      <w:r>
        <w:rPr/>
        <w:t>/</w:t>
      </w:r>
    </w:p>
    <w:p>
      <w:pPr>
        <w:pStyle w:val="null3"/>
        <w:ind w:firstLine="480"/>
      </w:pPr>
      <w:r>
        <w:rPr/>
        <w:t>邮箱：</w:t>
      </w:r>
      <w:r>
        <w:rPr/>
        <w:t>tzcst01@163.com</w:t>
      </w:r>
    </w:p>
    <w:p>
      <w:pPr>
        <w:pStyle w:val="null3"/>
        <w:ind w:firstLine="480"/>
      </w:pPr>
      <w:r>
        <w:rPr/>
        <w:t>地址：</w:t>
      </w:r>
      <w:r>
        <w:rPr/>
        <w:t>汕头市龙湖区珠津工业区珠津一街3号凯撒工业城2幢2楼215号房</w:t>
      </w:r>
    </w:p>
    <w:p>
      <w:pPr>
        <w:pStyle w:val="null3"/>
        <w:ind w:firstLine="480"/>
      </w:pPr>
      <w:r>
        <w:rPr/>
        <w:t>邮编：</w:t>
      </w:r>
      <w:r>
        <w:rPr/>
        <w:t>515000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政府采购监督管理机构名称：汕头市龙湖区财政局采购管理股</w:t>
      </w:r>
    </w:p>
    <w:p>
      <w:pPr>
        <w:pStyle w:val="null3"/>
      </w:pPr>
      <w:r>
        <w:rPr/>
        <w:t>地 址：广东省汕头市龙湖区大北山路3号财审大楼705</w:t>
      </w:r>
    </w:p>
    <w:p>
      <w:pPr>
        <w:pStyle w:val="null3"/>
      </w:pPr>
      <w:r>
        <w:rPr/>
        <w:t>电 话：88260389</w:t>
      </w:r>
    </w:p>
    <w:p>
      <w:pPr>
        <w:pStyle w:val="null3"/>
      </w:pPr>
      <w:r>
        <w:rPr/>
        <w:t>邮 编：510030</w:t>
      </w:r>
    </w:p>
    <w:p>
      <w:pPr>
        <w:pStyle w:val="null3"/>
      </w:pPr>
      <w:r>
        <w:rPr/>
        <w:t>传 真：88469476</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汕头市龙湖区司法局购买司法协理员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同致诚工程咨询有限公司</w:t>
      </w:r>
      <w:r>
        <w:rPr/>
        <w:t>统一对外发布。</w:t>
      </w:r>
    </w:p>
    <w:p>
      <w:pPr>
        <w:pStyle w:val="null3"/>
        <w:ind w:firstLine="480"/>
      </w:pPr>
      <w:r>
        <w:rPr/>
        <w:t>（2）对</w:t>
      </w:r>
      <w:r>
        <w:rPr/>
        <w:t>同致诚工程咨询有限公司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采购包1（汕头市龙湖区司法局购买司法协理员服务项目）：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采购包1（汕头市龙湖区司法局购买司法协理员服务项目）：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提供投标截止日前6个月内任意1个月依法缴纳税收和社会保障资金的相关材料（如依法免税或不需要缴纳社会保障资金的，提供相应证明材料）；或提供《汕头市政府采购供应商信用承诺函》。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或2024年度财务状况报告或基本开户行出具的资信证明（2025年1月1日之后成立的单位若不提供承诺函的，则须提供单位成立至今的财务状况报告或基本开户行出具的资信证明）；或提供《汕头市政府采购供应商信用承诺函》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参照投标（报价）函相关承诺格式内容或提供《汕头市政府采购供应商信用承诺函》。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重大税收违法失信主体、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r>
        <w:rPr/>
        <w:t>采购包1（汕头市龙湖区司法局购买司法协理员服务项目）：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投标文件盖章或签字</w:t>
            </w:r>
          </w:p>
        </w:tc>
        <w:tc>
          <w:tcPr>
            <w:tcW w:type="dxa" w:w="4238"/>
          </w:tcPr>
          <w:p>
            <w:pPr>
              <w:pStyle w:val="null3"/>
            </w:pPr>
            <w:r>
              <w:rPr/>
              <w:t>投标文件封面及关键页均有按招标文件要求加盖公章或签字。</w:t>
            </w:r>
          </w:p>
        </w:tc>
      </w:tr>
      <w:tr>
        <w:tc>
          <w:tcPr>
            <w:tcW w:type="dxa" w:w="890"/>
          </w:tcPr>
          <w:p>
            <w:pPr>
              <w:pStyle w:val="null3"/>
            </w:pPr>
            <w:r>
              <w:rPr/>
              <w:t>2</w:t>
            </w:r>
          </w:p>
        </w:tc>
        <w:tc>
          <w:tcPr>
            <w:tcW w:type="dxa" w:w="3178"/>
          </w:tcPr>
          <w:p>
            <w:pPr>
              <w:pStyle w:val="null3"/>
            </w:pPr>
            <w:r>
              <w:rPr/>
              <w:t>投标报价满足需求</w:t>
            </w:r>
          </w:p>
        </w:tc>
        <w:tc>
          <w:tcPr>
            <w:tcW w:type="dxa" w:w="4238"/>
          </w:tcPr>
          <w:p>
            <w:pPr>
              <w:pStyle w:val="null3"/>
            </w:pPr>
            <w:r>
              <w:rPr/>
              <w:t>投标报价内容满足招标文件要求且没有超出限价范围。</w:t>
            </w:r>
          </w:p>
        </w:tc>
      </w:tr>
      <w:tr>
        <w:tc>
          <w:tcPr>
            <w:tcW w:type="dxa" w:w="890"/>
          </w:tcPr>
          <w:p>
            <w:pPr>
              <w:pStyle w:val="null3"/>
            </w:pPr>
            <w:r>
              <w:rPr/>
              <w:t>3</w:t>
            </w:r>
          </w:p>
        </w:tc>
        <w:tc>
          <w:tcPr>
            <w:tcW w:type="dxa" w:w="3178"/>
          </w:tcPr>
          <w:p>
            <w:pPr>
              <w:pStyle w:val="null3"/>
            </w:pPr>
            <w:r>
              <w:rPr/>
              <w:t>投标有效期满足要求</w:t>
            </w:r>
          </w:p>
        </w:tc>
        <w:tc>
          <w:tcPr>
            <w:tcW w:type="dxa" w:w="4238"/>
          </w:tcPr>
          <w:p>
            <w:pPr>
              <w:pStyle w:val="null3"/>
            </w:pPr>
            <w:r>
              <w:rPr/>
              <w:t>投标有效期满足招标文件要求。</w:t>
            </w:r>
          </w:p>
        </w:tc>
      </w:tr>
      <w:tr>
        <w:tc>
          <w:tcPr>
            <w:tcW w:type="dxa" w:w="890"/>
          </w:tcPr>
          <w:p>
            <w:pPr>
              <w:pStyle w:val="null3"/>
            </w:pPr>
            <w:r>
              <w:rPr/>
              <w:t>4</w:t>
            </w:r>
          </w:p>
        </w:tc>
        <w:tc>
          <w:tcPr>
            <w:tcW w:type="dxa" w:w="3178"/>
          </w:tcPr>
          <w:p>
            <w:pPr>
              <w:pStyle w:val="null3"/>
            </w:pPr>
            <w:r>
              <w:rPr/>
              <w:t>投标内容符合需求</w:t>
            </w:r>
          </w:p>
        </w:tc>
        <w:tc>
          <w:tcPr>
            <w:tcW w:type="dxa" w:w="4238"/>
          </w:tcPr>
          <w:p>
            <w:pPr>
              <w:pStyle w:val="null3"/>
            </w:pPr>
            <w:r>
              <w:rPr/>
              <w:t>投标内容无重大（或实质性）偏离项目采购需求书的要求。</w:t>
            </w:r>
          </w:p>
        </w:tc>
      </w:tr>
      <w:tr>
        <w:tc>
          <w:tcPr>
            <w:tcW w:type="dxa" w:w="890"/>
          </w:tcPr>
          <w:p>
            <w:pPr>
              <w:pStyle w:val="null3"/>
            </w:pPr>
            <w:r>
              <w:rPr/>
              <w:t>5</w:t>
            </w:r>
          </w:p>
        </w:tc>
        <w:tc>
          <w:tcPr>
            <w:tcW w:type="dxa" w:w="3178"/>
          </w:tcPr>
          <w:p>
            <w:pPr>
              <w:pStyle w:val="null3"/>
            </w:pPr>
            <w:r>
              <w:rPr/>
              <w:t>没有附加对采购人不利的条件</w:t>
            </w:r>
          </w:p>
        </w:tc>
        <w:tc>
          <w:tcPr>
            <w:tcW w:type="dxa" w:w="4238"/>
          </w:tcPr>
          <w:p>
            <w:pPr>
              <w:pStyle w:val="null3"/>
            </w:pPr>
            <w:r>
              <w:rPr/>
              <w:t>投标文件中没有出现明显对采购人不利的附加条件。</w:t>
            </w:r>
          </w:p>
        </w:tc>
      </w:tr>
      <w:tr>
        <w:tc>
          <w:tcPr>
            <w:tcW w:type="dxa" w:w="890"/>
          </w:tcPr>
          <w:p>
            <w:pPr>
              <w:pStyle w:val="null3"/>
            </w:pPr>
            <w:r>
              <w:rPr/>
              <w:t>6</w:t>
            </w:r>
          </w:p>
        </w:tc>
        <w:tc>
          <w:tcPr>
            <w:tcW w:type="dxa" w:w="3178"/>
          </w:tcPr>
          <w:p>
            <w:pPr>
              <w:pStyle w:val="null3"/>
            </w:pPr>
            <w:r>
              <w:rPr/>
              <w:t>符合招标文件及相关法律规定</w:t>
            </w:r>
          </w:p>
        </w:tc>
        <w:tc>
          <w:tcPr>
            <w:tcW w:type="dxa" w:w="4238"/>
          </w:tcPr>
          <w:p>
            <w:pPr>
              <w:pStyle w:val="null3"/>
            </w:pPr>
            <w:r>
              <w:rPr/>
              <w:t>投标文件没有其它不符合本项目招标文件规定或违反相关法律的内容。</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采购包1(汕头市龙湖区司法局购买司法协理员服务项目):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总体服务方案 (10.0分)</w:t>
            </w:r>
          </w:p>
        </w:tc>
        <w:tc>
          <w:tcPr>
            <w:tcW w:type="dxa" w:w="5076"/>
          </w:tcPr>
          <w:p>
            <w:pPr>
              <w:pStyle w:val="null3"/>
              <w:jc w:val="left"/>
            </w:pPr>
            <w:r>
              <w:rPr/>
              <w:t>一、根据本项目制定的总体服务方案，包括但不限于以下内容：①对服务项目的理解；②项目进度和验收计划；③组织实施方案；包含上述内容的，每项得1分，最高得3分； 二、在包含上述内容基础上对方案进行评审：1、方案框架完整、内容实用、细节可执行强，体现丰富和科学的管理服务经验，得7分；2、方案框架较完整、内容较实用、细节执行性一般，体现一定的管理服务经验，得4分；3、方案框架不完整、内容实用性差、细节执行性差，没有管理服务经验体现，得1分；4、无提供不得分。</w:t>
            </w:r>
          </w:p>
        </w:tc>
      </w:tr>
      <w:tr>
        <w:tc>
          <w:tcPr>
            <w:tcW w:type="dxa" w:w="922"/>
            <w:gridSpan w:val="2"/>
            <w:vMerge/>
          </w:tcPr>
          <w:p/>
        </w:tc>
        <w:tc>
          <w:tcPr>
            <w:tcW w:type="dxa" w:w="2307"/>
          </w:tcPr>
          <w:p>
            <w:pPr>
              <w:pStyle w:val="null3"/>
              <w:jc w:val="left"/>
            </w:pPr>
            <w:r>
              <w:rPr/>
              <w:t>人员培训方案 (10.0分)</w:t>
            </w:r>
          </w:p>
        </w:tc>
        <w:tc>
          <w:tcPr>
            <w:tcW w:type="dxa" w:w="5076"/>
          </w:tcPr>
          <w:p>
            <w:pPr>
              <w:pStyle w:val="null3"/>
              <w:jc w:val="left"/>
            </w:pPr>
            <w:r>
              <w:rPr/>
              <w:t>一、根据本项目制定的人员培训方案，包括但不限于以下内容：①服务人员的岗前培训；②在岗培训；③定期考核管理方案；包含上述内容的，每项得1分，最高得3分； 二、在包含上述内容基础上对方案进行评审：1、方案完善健全、流程清晰详尽，内容符合项目要求，得7分；2、方案基本合理、流程基本清晰，大部分内容符合项目要求，得4分；3、方案不完善、流程不清晰，内容不符合项目要求，得1分；4、无提供不得分。</w:t>
            </w:r>
          </w:p>
        </w:tc>
      </w:tr>
      <w:tr>
        <w:tc>
          <w:tcPr>
            <w:tcW w:type="dxa" w:w="922"/>
            <w:gridSpan w:val="2"/>
            <w:vMerge/>
          </w:tcPr>
          <w:p/>
        </w:tc>
        <w:tc>
          <w:tcPr>
            <w:tcW w:type="dxa" w:w="2307"/>
          </w:tcPr>
          <w:p>
            <w:pPr>
              <w:pStyle w:val="null3"/>
              <w:jc w:val="left"/>
            </w:pPr>
            <w:r>
              <w:rPr/>
              <w:t>应急处理机制 (10.0分)</w:t>
            </w:r>
          </w:p>
        </w:tc>
        <w:tc>
          <w:tcPr>
            <w:tcW w:type="dxa" w:w="5076"/>
          </w:tcPr>
          <w:p>
            <w:pPr>
              <w:pStyle w:val="null3"/>
              <w:jc w:val="left"/>
            </w:pPr>
            <w:r>
              <w:rPr/>
              <w:t>一、根据本项目制定的应急处理机制，包括但不限于以下内容：①劳务纠纷；②人员流失的处理机制；③人员工伤处理机制；包含上述内容的，每项得1分，最高得3分； 二、在包含上述内容基础上对应急处理机制进行评审：1、机制完善健全、针对性强、可行性高，流失应急补充服务能力强，得7分；2、机制基本合理、针对性一般、可行性合理但流失应急补充服务能力一般，得4分；3、机制不合理、没有针对性、可行性不合理，流失应急补充服务能力差，得1分；4、无提供不得分。</w:t>
            </w:r>
          </w:p>
        </w:tc>
      </w:tr>
      <w:tr>
        <w:tc>
          <w:tcPr>
            <w:tcW w:type="dxa" w:w="922"/>
            <w:gridSpan w:val="2"/>
            <w:vMerge/>
          </w:tcPr>
          <w:p/>
        </w:tc>
        <w:tc>
          <w:tcPr>
            <w:tcW w:type="dxa" w:w="2307"/>
          </w:tcPr>
          <w:p>
            <w:pPr>
              <w:pStyle w:val="null3"/>
              <w:jc w:val="left"/>
            </w:pPr>
            <w:r>
              <w:rPr/>
              <w:t>人力资源方案 (15.0分)</w:t>
            </w:r>
          </w:p>
        </w:tc>
        <w:tc>
          <w:tcPr>
            <w:tcW w:type="dxa" w:w="5076"/>
          </w:tcPr>
          <w:p>
            <w:pPr>
              <w:pStyle w:val="null3"/>
              <w:jc w:val="left"/>
            </w:pPr>
            <w:r>
              <w:rPr/>
              <w:t>一、根据本项目制定的人力资源方案，包括但不限于以下内容：①人力资源规划；②招聘与配置；③绩效管理；④薪酬福利管理；⑤劳动关系管理；⑥人力资源法务管理方案；包含上述内容的，每项得1分，最高得6分； 二、在包含上述内容基础上对人力资源方案进行评审：1、方案完善健全、具体、合理，可操作性强，得9分；2、方案基本合理但不全面，针对性一般，得6分；3、方案不够合理、可操作性不强，描述不够详细，得3分；4、无提供不得分。</w:t>
            </w:r>
          </w:p>
        </w:tc>
      </w:tr>
      <w:tr>
        <w:tc>
          <w:tcPr>
            <w:tcW w:type="dxa" w:w="922"/>
            <w:gridSpan w:val="2"/>
            <w:vMerge/>
          </w:tcPr>
          <w:p/>
        </w:tc>
        <w:tc>
          <w:tcPr>
            <w:tcW w:type="dxa" w:w="2307"/>
          </w:tcPr>
          <w:p>
            <w:pPr>
              <w:pStyle w:val="null3"/>
              <w:jc w:val="left"/>
            </w:pPr>
            <w:r>
              <w:rPr/>
              <w:t>内部管理方案 (10.0分)</w:t>
            </w:r>
          </w:p>
        </w:tc>
        <w:tc>
          <w:tcPr>
            <w:tcW w:type="dxa" w:w="5076"/>
          </w:tcPr>
          <w:p>
            <w:pPr>
              <w:pStyle w:val="null3"/>
              <w:jc w:val="left"/>
            </w:pPr>
            <w:r>
              <w:rPr/>
              <w:t>一、根据本项目制定的内部管理方案，包括但不限于以下内容：①运营管理；②财务管理；③安全管理；④保密管理方案；包含上述内容的，每项得1分，最高得4分； 二、在包含上述内容基础上对内部管理方案进行评审：1、方案完善健全、切实可行，可操作性符合项目要求，得6分；2、方案基本合理、具有一定实操性，大部分内容符合项目要求，得4分；3、方案片面不合理，内容不符合项目要求，得2分；4、无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(10.0分)</w:t>
            </w:r>
          </w:p>
        </w:tc>
        <w:tc>
          <w:tcPr>
            <w:tcW w:type="dxa" w:w="5076"/>
          </w:tcPr>
          <w:p>
            <w:pPr>
              <w:pStyle w:val="null3"/>
              <w:jc w:val="left"/>
            </w:pPr>
            <w:r>
              <w:rPr/>
              <w:t>提供自2022年1月1日至今承接的同类服务外包项目业绩：每提供一项业绩得2分，本项最多得10分，无提供不得分。注：项目业绩是指供应商独立名义实施的项目，不含联合体、分包、转包等其他形式的项目，须提供合同关键页复印件（含签订合同双方的单位名称、合同项目名称、项目金额与签订合同双方的落款盖章、签订日期的关键页）作为同类业绩证明材料，否则不得分。</w:t>
            </w:r>
          </w:p>
        </w:tc>
      </w:tr>
      <w:tr>
        <w:tc>
          <w:tcPr>
            <w:tcW w:type="dxa" w:w="922"/>
            <w:gridSpan w:val="2"/>
            <w:vMerge/>
          </w:tcPr>
          <w:p/>
        </w:tc>
        <w:tc>
          <w:tcPr>
            <w:tcW w:type="dxa" w:w="2307"/>
          </w:tcPr>
          <w:p>
            <w:pPr>
              <w:pStyle w:val="null3"/>
              <w:jc w:val="left"/>
            </w:pPr>
            <w:r>
              <w:rPr/>
              <w:t>客户评价 (10.0分)</w:t>
            </w:r>
          </w:p>
        </w:tc>
        <w:tc>
          <w:tcPr>
            <w:tcW w:type="dxa" w:w="5076"/>
          </w:tcPr>
          <w:p>
            <w:pPr>
              <w:pStyle w:val="null3"/>
              <w:jc w:val="left"/>
            </w:pPr>
            <w:r>
              <w:rPr/>
              <w:t>提供自2022年1月1日至今的客户评价： 1、客户评价为优等或优秀或优，每一项得2分，最多得10分； 2、客户评价为良或良好，每一项得1分，最多得5分。 注：本项最高得10分，供应商所提供的客户评价须与上述同类业绩得分项所提供的业绩一致，同一个单位不重复计分，提供证明材料须加盖客户公章或有效专用章，否则不得分。</w:t>
            </w:r>
          </w:p>
        </w:tc>
      </w:tr>
      <w:tr>
        <w:tc>
          <w:tcPr>
            <w:tcW w:type="dxa" w:w="922"/>
            <w:gridSpan w:val="2"/>
            <w:vMerge/>
          </w:tcPr>
          <w:p/>
        </w:tc>
        <w:tc>
          <w:tcPr>
            <w:tcW w:type="dxa" w:w="2307"/>
          </w:tcPr>
          <w:p>
            <w:pPr>
              <w:pStyle w:val="null3"/>
              <w:jc w:val="left"/>
            </w:pPr>
            <w:r>
              <w:rPr/>
              <w:t>综合能力 (6.0分)</w:t>
            </w:r>
          </w:p>
        </w:tc>
        <w:tc>
          <w:tcPr>
            <w:tcW w:type="dxa" w:w="5076"/>
          </w:tcPr>
          <w:p>
            <w:pPr>
              <w:pStyle w:val="null3"/>
              <w:jc w:val="left"/>
            </w:pPr>
            <w:r>
              <w:rPr/>
              <w:t>提供以下认证证书： 1、 具有质量管理体系认证证书，得2分； 2、具有环境管理体系认证证书，得2分； 3、职业健康安全管理体系认证证书，得2分。 注：本项最高得6分，须提供证书复印件和“全国认证认可信息公共服务平台”查询的网页截图（带网址），证书必须在有效期内，否则不得分。</w:t>
            </w:r>
          </w:p>
        </w:tc>
      </w:tr>
      <w:tr>
        <w:tc>
          <w:tcPr>
            <w:tcW w:type="dxa" w:w="922"/>
            <w:gridSpan w:val="2"/>
            <w:vMerge/>
          </w:tcPr>
          <w:p/>
        </w:tc>
        <w:tc>
          <w:tcPr>
            <w:tcW w:type="dxa" w:w="2307"/>
          </w:tcPr>
          <w:p>
            <w:pPr>
              <w:pStyle w:val="null3"/>
              <w:jc w:val="left"/>
            </w:pPr>
            <w:r>
              <w:rPr/>
              <w:t>人员配置 (9.0分)</w:t>
            </w:r>
          </w:p>
        </w:tc>
        <w:tc>
          <w:tcPr>
            <w:tcW w:type="dxa" w:w="5076"/>
          </w:tcPr>
          <w:p>
            <w:pPr>
              <w:pStyle w:val="null3"/>
              <w:jc w:val="left"/>
            </w:pPr>
            <w:r>
              <w:rPr/>
              <w:t>为保障项目服务质量，提升人力资源管理水平和提升维护服务人员劳资关系稳定性，投标人拟派本项目人员情况： 拟派项目负责人（1名）：具备人力资源和社会保障部或人社部门备案评价机构颁发的企业人力资源管理师（国家职业资格一级/高级技师）的，得3分；企业人力资源管理师（国家职业资格二级/技师）的，得1分。 拟派管理人员（2名）：具备人力资源和社会保障部或人社部门备案评价机构颁发的劳动关系协调员（国家职业资格一级/高级技师），每一人得3分，最高得6分；劳动关系协调员（国家职业资格二级/技师），每一人得1分，最高得2分。 注：①以上人员一人一岗，不得兼任。②提供相关证书及近一个月社保证明的复印件或扫描件加盖公章，无提供不得分。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rPr/>
        <w:t>注：本合同仅为合同的参考文本，合同签订双方可根据项目的具体要求进行修订。</w:t>
      </w:r>
      <w:r>
        <w:br/>
      </w:r>
      <w:r>
        <w:rPr>
          <w:sz w:val="27"/>
          <w:color w:val="222222"/>
        </w:rPr>
        <w:t xml:space="preserve"> </w:t>
      </w:r>
    </w:p>
    <w:p>
      <w:pPr>
        <w:pStyle w:val="null3"/>
        <w:spacing w:before="0" w:after="0"/>
        <w:ind w:left="0" w:right="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sz w:val="27"/>
          <w:color w:val="222222"/>
        </w:rPr>
        <w:t>传真</w:t>
      </w:r>
      <w:r>
        <w:rPr>
          <w:sz w:val="27"/>
          <w:color w:val="222222"/>
        </w:rPr>
        <w:t xml:space="preserve"> </w:t>
      </w:r>
      <w:r>
        <w:rPr>
          <w:sz w:val="27"/>
          <w:color w:val="222222"/>
        </w:rPr>
        <w:t>：</w:t>
      </w:r>
      <w:r>
        <w:rPr>
          <w:sz w:val="27"/>
          <w:color w:val="222222"/>
        </w:rPr>
        <w:t xml:space="preserve"> </w:t>
      </w:r>
      <w:r>
        <w:rPr>
          <w:u w:val="single"/>
        </w:rPr>
        <w:t>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jc w:val="both"/>
      </w:pPr>
      <w:r>
        <w:rPr>
          <w:sz w:val="27"/>
          <w:color w:val="222222"/>
        </w:rPr>
        <w:t>电话：</w:t>
      </w:r>
      <w:r>
        <w:rPr>
          <w:sz w:val="27"/>
          <w:color w:val="222222"/>
        </w:rPr>
        <w:t xml:space="preserve"> </w:t>
      </w:r>
      <w:r>
        <w:rPr>
          <w:u w:val="single"/>
        </w:rPr>
        <w:t>　　　　</w:t>
      </w:r>
      <w:r>
        <w:rPr>
          <w:u w:val="single"/>
        </w:rPr>
        <w:t xml:space="preserve"> </w:t>
      </w:r>
      <w:r>
        <w:rPr>
          <w:u w:val="single"/>
        </w:rPr>
        <w:t xml:space="preserve"> </w:t>
      </w:r>
      <w:r>
        <w:rPr>
          <w:u w:val="single"/>
        </w:rPr>
        <w:t xml:space="preserve"> </w:t>
      </w:r>
      <w:r>
        <w:rPr>
          <w:sz w:val="27"/>
          <w:color w:val="222222"/>
        </w:rPr>
        <w:t>传真：</w:t>
      </w:r>
      <w:r>
        <w:rPr>
          <w:u w:val="single"/>
        </w:rPr>
        <w:t>　　　</w:t>
      </w:r>
      <w:r>
        <w:rPr>
          <w:u w:val="single"/>
        </w:rPr>
        <w:t xml:space="preserve"> </w:t>
      </w:r>
      <w:r>
        <w:rPr>
          <w:u w:val="single"/>
        </w:rPr>
        <w:t xml:space="preserve"> </w:t>
      </w:r>
      <w:r>
        <w:rPr>
          <w:u w:val="single"/>
        </w:rPr>
        <w:t xml:space="preserve"> </w:t>
      </w:r>
      <w:r>
        <w:rPr>
          <w:sz w:val="27"/>
          <w:color w:val="222222"/>
        </w:rPr>
        <w:t>地址：</w:t>
      </w:r>
      <w:r>
        <w:rPr>
          <w:sz w:val="27"/>
          <w:color w:val="222222"/>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both"/>
      </w:pPr>
      <w:r>
        <w:rPr>
          <w:sz w:val="27"/>
          <w:color w:val="222222"/>
        </w:rPr>
        <w:t xml:space="preserve"> </w:t>
      </w:r>
      <w:r>
        <w:rPr>
          <w:sz w:val="27"/>
          <w:color w:val="222222"/>
        </w:rPr>
        <w:t xml:space="preserve"> </w:t>
      </w:r>
    </w:p>
    <w:p>
      <w:pPr>
        <w:pStyle w:val="null3"/>
        <w:jc w:val="both"/>
      </w:pPr>
      <w:r>
        <w:rPr>
          <w:sz w:val="22"/>
        </w:rPr>
        <w:t>根据</w:t>
      </w:r>
      <w:r>
        <w:rPr>
          <w:sz w:val="21"/>
          <w:u w:val="single"/>
        </w:rPr>
        <w:t xml:space="preserve">             </w:t>
      </w:r>
      <w:r>
        <w:rPr>
          <w:sz w:val="22"/>
        </w:rPr>
        <w:t>（项目名称）的采购结果，按照《中华人民共和国政府采购法》、《中华人民共和国民法典》的规定，经双方协商，本着平等互利和诚实信用的原则，一致同意签订本合同如下</w:t>
      </w:r>
      <w:r>
        <w:rPr>
          <w:sz w:val="22"/>
        </w:rPr>
        <w:t>。</w:t>
      </w:r>
    </w:p>
    <w:p>
      <w:pPr>
        <w:pStyle w:val="null3"/>
        <w:jc w:val="both"/>
      </w:pPr>
      <w:r>
        <w:rPr>
          <w:sz w:val="24"/>
        </w:rPr>
        <w:t>一</w:t>
      </w:r>
      <w:r>
        <w:rPr>
          <w:sz w:val="24"/>
        </w:rPr>
        <w:t>、</w:t>
      </w:r>
      <w:r>
        <w:rPr>
          <w:sz w:val="24"/>
        </w:rPr>
        <w:t>合同</w:t>
      </w:r>
      <w:r>
        <w:rPr>
          <w:sz w:val="24"/>
        </w:rPr>
        <w:t>金额</w:t>
      </w:r>
    </w:p>
    <w:p>
      <w:pPr>
        <w:pStyle w:val="null3"/>
        <w:jc w:val="both"/>
      </w:pPr>
      <w:r>
        <w:rPr>
          <w:sz w:val="24"/>
          <w:color w:val="000000"/>
        </w:rPr>
        <w:t>合同金额为（大写）：</w:t>
      </w:r>
      <w:r>
        <w:rPr>
          <w:sz w:val="24"/>
          <w:color w:val="000000"/>
          <w:u w:val="single"/>
        </w:rPr>
        <w:t>人民币</w:t>
      </w:r>
      <w:r>
        <w:rPr>
          <w:sz w:val="24"/>
          <w:color w:val="000000"/>
          <w:u w:val="single"/>
        </w:rPr>
        <w:t xml:space="preserve">               </w:t>
      </w:r>
      <w:r>
        <w:rPr>
          <w:sz w:val="24"/>
          <w:color w:val="000000"/>
          <w:u w:val="single"/>
        </w:rPr>
        <w:t>（￥</w:t>
      </w:r>
      <w:r>
        <w:rPr>
          <w:sz w:val="24"/>
          <w:color w:val="000000"/>
          <w:u w:val="single"/>
        </w:rPr>
        <w:t xml:space="preserve">         </w:t>
      </w:r>
      <w:r>
        <w:rPr>
          <w:sz w:val="24"/>
          <w:color w:val="000000"/>
          <w:u w:val="single"/>
        </w:rPr>
        <w:t>元）</w:t>
      </w:r>
      <w:r>
        <w:rPr>
          <w:sz w:val="24"/>
        </w:rPr>
        <w:t>。</w:t>
      </w:r>
    </w:p>
    <w:p>
      <w:pPr>
        <w:pStyle w:val="null3"/>
        <w:jc w:val="both"/>
      </w:pPr>
      <w:r>
        <w:rPr>
          <w:sz w:val="24"/>
        </w:rPr>
        <w:t>二</w:t>
      </w:r>
      <w:r>
        <w:rPr>
          <w:sz w:val="24"/>
        </w:rPr>
        <w:t>、</w:t>
      </w:r>
      <w:r>
        <w:rPr>
          <w:sz w:val="24"/>
        </w:rPr>
        <w:t>合同期限</w:t>
      </w:r>
    </w:p>
    <w:p>
      <w:pPr>
        <w:pStyle w:val="null3"/>
        <w:jc w:val="both"/>
      </w:pPr>
      <w:r>
        <w:rPr>
          <w:sz w:val="22"/>
        </w:rPr>
        <w:t>服务期</w:t>
      </w:r>
      <w:r>
        <w:rPr>
          <w:sz w:val="22"/>
        </w:rPr>
        <w:t>3年，具体时间以合同签订时间为准。</w:t>
      </w:r>
    </w:p>
    <w:p>
      <w:pPr>
        <w:pStyle w:val="null3"/>
        <w:jc w:val="both"/>
      </w:pPr>
      <w:r>
        <w:rPr>
          <w:sz w:val="24"/>
        </w:rPr>
        <w:t>三</w:t>
      </w:r>
      <w:r>
        <w:rPr>
          <w:sz w:val="24"/>
        </w:rPr>
        <w:t>、</w:t>
      </w:r>
      <w:r>
        <w:rPr>
          <w:sz w:val="24"/>
          <w:color w:val="000000"/>
        </w:rPr>
        <w:t>主要服务职责</w:t>
      </w:r>
    </w:p>
    <w:p>
      <w:pPr>
        <w:pStyle w:val="null3"/>
        <w:jc w:val="both"/>
      </w:pPr>
      <w:r>
        <w:rPr>
          <w:sz w:val="24"/>
          <w:color w:val="000000"/>
        </w:rPr>
        <w:t>1</w:t>
      </w:r>
      <w:r>
        <w:rPr>
          <w:sz w:val="24"/>
          <w:color w:val="000000"/>
        </w:rPr>
        <w:t>、协助基层政府法律事务等法治政府建设工作；</w:t>
      </w:r>
    </w:p>
    <w:p>
      <w:pPr>
        <w:pStyle w:val="null3"/>
        <w:jc w:val="both"/>
      </w:pPr>
      <w:r>
        <w:rPr>
          <w:sz w:val="24"/>
          <w:color w:val="000000"/>
        </w:rPr>
        <w:t>2</w:t>
      </w:r>
      <w:r>
        <w:rPr>
          <w:sz w:val="24"/>
          <w:color w:val="000000"/>
        </w:rPr>
        <w:t>、协助组织开展法治宣传教育活动等依法治理工作；</w:t>
      </w:r>
    </w:p>
    <w:p>
      <w:pPr>
        <w:pStyle w:val="null3"/>
        <w:jc w:val="both"/>
      </w:pPr>
      <w:r>
        <w:rPr>
          <w:sz w:val="24"/>
          <w:color w:val="000000"/>
        </w:rPr>
        <w:t>3</w:t>
      </w:r>
      <w:r>
        <w:rPr>
          <w:sz w:val="24"/>
          <w:color w:val="000000"/>
        </w:rPr>
        <w:t>、协助开展公共法律服务工作；</w:t>
      </w:r>
    </w:p>
    <w:p>
      <w:pPr>
        <w:pStyle w:val="null3"/>
        <w:jc w:val="both"/>
      </w:pPr>
      <w:r>
        <w:rPr>
          <w:sz w:val="24"/>
          <w:color w:val="000000"/>
        </w:rPr>
        <w:t>4</w:t>
      </w:r>
      <w:r>
        <w:rPr>
          <w:sz w:val="24"/>
          <w:color w:val="000000"/>
        </w:rPr>
        <w:t>、协助开展联系沟通社区矫正对象、开展教育矫正帮扶等专业化工作；</w:t>
      </w:r>
    </w:p>
    <w:p>
      <w:pPr>
        <w:pStyle w:val="null3"/>
        <w:jc w:val="both"/>
      </w:pPr>
      <w:r>
        <w:rPr>
          <w:sz w:val="24"/>
          <w:color w:val="000000"/>
        </w:rPr>
        <w:t>5</w:t>
      </w:r>
      <w:r>
        <w:rPr>
          <w:sz w:val="24"/>
          <w:color w:val="000000"/>
        </w:rPr>
        <w:t>、协助做好刑满释放人员安置帮教等工作；</w:t>
      </w:r>
    </w:p>
    <w:p>
      <w:pPr>
        <w:pStyle w:val="null3"/>
        <w:jc w:val="both"/>
      </w:pPr>
      <w:r>
        <w:rPr>
          <w:sz w:val="24"/>
          <w:color w:val="000000"/>
        </w:rPr>
        <w:t>6</w:t>
      </w:r>
      <w:r>
        <w:rPr>
          <w:sz w:val="24"/>
          <w:color w:val="000000"/>
        </w:rPr>
        <w:t>、做好各类信息采集、数据统计、文字记录等工作及司法行政机关交办的其他辅助性工作</w:t>
      </w:r>
      <w:r>
        <w:rPr>
          <w:sz w:val="24"/>
        </w:rPr>
        <w:t>。</w:t>
      </w:r>
    </w:p>
    <w:p>
      <w:pPr>
        <w:pStyle w:val="null3"/>
        <w:jc w:val="both"/>
      </w:pPr>
      <w:r>
        <w:rPr>
          <w:sz w:val="24"/>
        </w:rPr>
        <w:t>四</w:t>
      </w:r>
      <w:r>
        <w:rPr>
          <w:sz w:val="24"/>
        </w:rPr>
        <w:t>、</w:t>
      </w:r>
      <w:r>
        <w:rPr>
          <w:sz w:val="24"/>
        </w:rPr>
        <w:t>付款方式</w:t>
      </w:r>
    </w:p>
    <w:p>
      <w:pPr>
        <w:pStyle w:val="null3"/>
        <w:jc w:val="left"/>
      </w:pPr>
      <w:r>
        <w:rPr>
          <w:sz w:val="22"/>
        </w:rPr>
        <w:t>在合同期内，采购人按月支付合同约定相关费用给中标供应商，中标供应商应于每月的</w:t>
      </w:r>
      <w:r>
        <w:rPr>
          <w:sz w:val="22"/>
        </w:rPr>
        <w:t>10</w:t>
      </w:r>
      <w:r>
        <w:rPr>
          <w:sz w:val="22"/>
        </w:rPr>
        <w:t>个日历日前向采购人开具上一个月服务费用的合法发票，经采购人审核无误后</w:t>
      </w:r>
      <w:r>
        <w:rPr>
          <w:sz w:val="22"/>
        </w:rPr>
        <w:t>10</w:t>
      </w:r>
      <w:r>
        <w:rPr>
          <w:sz w:val="22"/>
        </w:rPr>
        <w:t>个日历日内将费用以转帐方式支付给中标供应商。</w:t>
      </w:r>
      <w:r>
        <w:rPr>
          <w:sz w:val="21"/>
        </w:rPr>
        <w:t xml:space="preserve"> </w:t>
      </w:r>
      <w:r>
        <w:rPr>
          <w:sz w:val="22"/>
        </w:rPr>
        <w:t>注：乙方应理解政府部门付款的相关程序，因甲方使用的是财政资金，甲方在前款规定的付款时间为向政府采购支付部门提出办理财政支付申请手续的时间（不含政府财政支付部门审核的时间），在规定时间内提出支付申请手续后即视为甲方已经按期支付。</w:t>
      </w:r>
    </w:p>
    <w:p>
      <w:pPr>
        <w:pStyle w:val="null3"/>
        <w:jc w:val="left"/>
      </w:pPr>
      <w:r>
        <w:rPr>
          <w:sz w:val="22"/>
        </w:rPr>
        <w:t>如项目发生合同融资，采购人应当将合同款项支付到合同约定收款账户</w:t>
      </w:r>
      <w:r>
        <w:rPr>
          <w:sz w:val="22"/>
        </w:rPr>
        <w:t>。</w:t>
      </w:r>
    </w:p>
    <w:p>
      <w:pPr>
        <w:pStyle w:val="null3"/>
        <w:jc w:val="left"/>
      </w:pPr>
      <w:r>
        <w:rPr>
          <w:sz w:val="22"/>
        </w:rPr>
        <w:t>五、</w:t>
      </w:r>
      <w:r>
        <w:rPr>
          <w:sz w:val="22"/>
        </w:rPr>
        <w:t>双方的权利和义务</w:t>
      </w:r>
    </w:p>
    <w:p>
      <w:pPr>
        <w:pStyle w:val="null3"/>
        <w:jc w:val="left"/>
      </w:pPr>
      <w:r>
        <w:rPr>
          <w:sz w:val="22"/>
        </w:rPr>
        <w:t>1、甲方的权利和义务</w:t>
      </w:r>
    </w:p>
    <w:p>
      <w:pPr>
        <w:pStyle w:val="null3"/>
        <w:jc w:val="left"/>
      </w:pPr>
      <w:r>
        <w:rPr>
          <w:sz w:val="22"/>
        </w:rPr>
        <w:t>（</w:t>
      </w:r>
      <w:r>
        <w:rPr>
          <w:sz w:val="22"/>
        </w:rPr>
        <w:t>1）甲方有权监督检查乙方提供外包服务的质量，对乙方及其工作人员履行义务不符合要求的，有权提出纠正。</w:t>
      </w:r>
    </w:p>
    <w:p>
      <w:pPr>
        <w:pStyle w:val="null3"/>
        <w:jc w:val="left"/>
      </w:pPr>
      <w:r>
        <w:rPr>
          <w:sz w:val="22"/>
        </w:rPr>
        <w:t>（</w:t>
      </w:r>
      <w:r>
        <w:rPr>
          <w:sz w:val="22"/>
        </w:rPr>
        <w:t>2）甲方有权对乙方派出人员进行定期或不定期的考核，对不符合甲方要求的人员有权要求乙方更换，乙方必须无条件按甲方要求在甲方规定的合理时间内更换人员。</w:t>
      </w:r>
    </w:p>
    <w:p>
      <w:pPr>
        <w:pStyle w:val="null3"/>
        <w:jc w:val="left"/>
      </w:pPr>
      <w:r>
        <w:rPr>
          <w:sz w:val="22"/>
        </w:rPr>
        <w:t>（</w:t>
      </w:r>
      <w:r>
        <w:rPr>
          <w:sz w:val="22"/>
        </w:rPr>
        <w:t>3）甲方根据法律法规的规定、国家政策的调整以及上级部门的文件，需要对本合同所约定的服务范围、服务方式、服务时间作相应调整的，乙方及其服务人员必须无条件接受相应调整。如调整超出双方约定的服务范围的，双方另行协商超出部分的收费事宜。</w:t>
      </w:r>
    </w:p>
    <w:p>
      <w:pPr>
        <w:pStyle w:val="null3"/>
        <w:jc w:val="left"/>
      </w:pPr>
      <w:r>
        <w:rPr>
          <w:sz w:val="22"/>
        </w:rPr>
        <w:t>（</w:t>
      </w:r>
      <w:r>
        <w:rPr>
          <w:sz w:val="22"/>
        </w:rPr>
        <w:t>4）甲方有权向乙方提出业务外包管理的意见和建议。</w:t>
      </w:r>
    </w:p>
    <w:p>
      <w:pPr>
        <w:pStyle w:val="null3"/>
        <w:jc w:val="left"/>
      </w:pPr>
      <w:r>
        <w:rPr>
          <w:sz w:val="22"/>
        </w:rPr>
        <w:t>（</w:t>
      </w:r>
      <w:r>
        <w:rPr>
          <w:sz w:val="22"/>
        </w:rPr>
        <w:t>5）甲方应为乙方提供必要的工作和劳动安全卫生条件。</w:t>
      </w:r>
    </w:p>
    <w:p>
      <w:pPr>
        <w:pStyle w:val="null3"/>
        <w:jc w:val="left"/>
      </w:pPr>
      <w:r>
        <w:rPr>
          <w:sz w:val="22"/>
        </w:rPr>
        <w:t>（</w:t>
      </w:r>
      <w:r>
        <w:rPr>
          <w:sz w:val="22"/>
        </w:rPr>
        <w:t>6）甲方负责提供乙方需要的有关办公用品及工作需要的特殊劳动保护用品，保证工作的有效运作。</w:t>
      </w:r>
    </w:p>
    <w:p>
      <w:pPr>
        <w:pStyle w:val="null3"/>
        <w:jc w:val="left"/>
      </w:pPr>
      <w:r>
        <w:rPr>
          <w:sz w:val="22"/>
        </w:rPr>
        <w:t>（</w:t>
      </w:r>
      <w:r>
        <w:rPr>
          <w:sz w:val="22"/>
        </w:rPr>
        <w:t>7）甲方应按照服务外包协议规定及时并足额的向乙方支付费用。</w:t>
      </w:r>
    </w:p>
    <w:p>
      <w:pPr>
        <w:pStyle w:val="null3"/>
        <w:jc w:val="left"/>
      </w:pPr>
      <w:r>
        <w:rPr>
          <w:sz w:val="22"/>
        </w:rPr>
        <w:t>2、乙方的权利和义务</w:t>
      </w:r>
    </w:p>
    <w:p>
      <w:pPr>
        <w:pStyle w:val="null3"/>
        <w:jc w:val="left"/>
      </w:pPr>
      <w:r>
        <w:rPr>
          <w:sz w:val="22"/>
        </w:rPr>
        <w:t>（</w:t>
      </w:r>
      <w:r>
        <w:rPr>
          <w:sz w:val="22"/>
        </w:rPr>
        <w:t>1）乙方有提供服务而收取约定费用的权利。</w:t>
      </w:r>
    </w:p>
    <w:p>
      <w:pPr>
        <w:pStyle w:val="null3"/>
        <w:jc w:val="left"/>
      </w:pPr>
      <w:r>
        <w:rPr>
          <w:sz w:val="22"/>
        </w:rPr>
        <w:t>（</w:t>
      </w:r>
      <w:r>
        <w:rPr>
          <w:sz w:val="22"/>
        </w:rPr>
        <w:t>2</w:t>
      </w:r>
      <w:r>
        <w:rPr>
          <w:sz w:val="22"/>
        </w:rPr>
        <w:t>）乙方保证其具备从事所约定的服务按照有关规定所应具备的资质、营业范围、专业人员、专业设备、专业技术等条件。</w:t>
      </w:r>
    </w:p>
    <w:p>
      <w:pPr>
        <w:pStyle w:val="null3"/>
        <w:jc w:val="left"/>
      </w:pPr>
      <w:r>
        <w:rPr>
          <w:sz w:val="22"/>
        </w:rPr>
        <w:t>（</w:t>
      </w:r>
      <w:r>
        <w:rPr>
          <w:sz w:val="22"/>
        </w:rPr>
        <w:t>3</w:t>
      </w:r>
      <w:r>
        <w:rPr>
          <w:sz w:val="22"/>
        </w:rPr>
        <w:t>）乙方应当与为甲方提供专业服务的人员签订书面劳动合同，并办理劳动用工备案手续。</w:t>
      </w:r>
    </w:p>
    <w:p>
      <w:pPr>
        <w:pStyle w:val="null3"/>
        <w:jc w:val="left"/>
      </w:pPr>
      <w:r>
        <w:rPr>
          <w:sz w:val="22"/>
        </w:rPr>
        <w:t>（</w:t>
      </w:r>
      <w:r>
        <w:rPr>
          <w:sz w:val="22"/>
        </w:rPr>
        <w:t>4</w:t>
      </w:r>
      <w:r>
        <w:rPr>
          <w:sz w:val="22"/>
        </w:rPr>
        <w:t>）乙方应按照合同约定有关标准，及时足额发放为甲方提供专业服务的人员劳动报酬及其他福利，并办理缴交</w:t>
      </w:r>
      <w:r>
        <w:rPr>
          <w:sz w:val="22"/>
        </w:rPr>
        <w:t>“五险”。</w:t>
      </w:r>
    </w:p>
    <w:p>
      <w:pPr>
        <w:pStyle w:val="null3"/>
        <w:jc w:val="left"/>
      </w:pPr>
      <w:r>
        <w:rPr>
          <w:sz w:val="22"/>
        </w:rPr>
        <w:t>（</w:t>
      </w:r>
      <w:r>
        <w:rPr>
          <w:sz w:val="22"/>
        </w:rPr>
        <w:t>5</w:t>
      </w:r>
      <w:r>
        <w:rPr>
          <w:sz w:val="22"/>
        </w:rPr>
        <w:t>）乙方应及时按甲方的要求履行外包服务义务，对甲方的指令及工作指派应及时传达并确保按时完成。</w:t>
      </w:r>
    </w:p>
    <w:p>
      <w:pPr>
        <w:pStyle w:val="null3"/>
        <w:jc w:val="left"/>
      </w:pPr>
      <w:r>
        <w:rPr>
          <w:sz w:val="22"/>
        </w:rPr>
        <w:t>（</w:t>
      </w:r>
      <w:r>
        <w:rPr>
          <w:sz w:val="22"/>
        </w:rPr>
        <w:t>6</w:t>
      </w:r>
      <w:r>
        <w:rPr>
          <w:sz w:val="22"/>
        </w:rPr>
        <w:t>）对派出甲方指定场所的服务人员，乙方有义务按照甲方的要求并参考甲方的规章制订相应的规章制度（包括但不限于工作时间、工作要求、工作完成标准等）予以规范，以加强管理。</w:t>
      </w:r>
    </w:p>
    <w:p>
      <w:pPr>
        <w:pStyle w:val="null3"/>
        <w:jc w:val="left"/>
      </w:pPr>
      <w:r>
        <w:rPr>
          <w:sz w:val="22"/>
        </w:rPr>
        <w:t>（</w:t>
      </w:r>
      <w:r>
        <w:rPr>
          <w:sz w:val="22"/>
        </w:rPr>
        <w:t>7</w:t>
      </w:r>
      <w:r>
        <w:rPr>
          <w:sz w:val="22"/>
        </w:rPr>
        <w:t>）乙方应组织对其服务人员进行保密培训，并须确保乙方服务人员保守甲方的商业秘密和其他保密信息，并对乙方人员泄密而导致的甲方经济损失或其他不良影响承担相应的法律责任</w:t>
      </w:r>
      <w:r>
        <w:rPr>
          <w:sz w:val="22"/>
        </w:rPr>
        <w:t>。</w:t>
      </w:r>
    </w:p>
    <w:p>
      <w:pPr>
        <w:pStyle w:val="null3"/>
        <w:jc w:val="both"/>
      </w:pPr>
      <w:r>
        <w:rPr>
          <w:sz w:val="24"/>
        </w:rPr>
        <w:t>六、保密要求</w:t>
      </w:r>
    </w:p>
    <w:p>
      <w:pPr>
        <w:pStyle w:val="null3"/>
        <w:jc w:val="both"/>
      </w:pPr>
      <w:r>
        <w:rPr>
          <w:sz w:val="24"/>
        </w:rPr>
        <w:t>乙方在签订和履行本合同中知悉甲方的全部信息、数据和资料等为甲方的秘密，乙方不得泄露或者擅自将甲方资料提供给第三方，即便合同终止后乙方亦应遵守此保密协议，若乙方泄露或者擅自将甲方资料提供给第三方，则因此造成的甲方损失由乙方承担，且甲方有权依法追究乙方的法律责任。</w:t>
      </w:r>
    </w:p>
    <w:p>
      <w:pPr>
        <w:pStyle w:val="null3"/>
        <w:jc w:val="both"/>
      </w:pPr>
      <w:r>
        <w:rPr>
          <w:sz w:val="24"/>
        </w:rPr>
        <w:t>七、事故责任与处理</w:t>
      </w:r>
    </w:p>
    <w:p>
      <w:pPr>
        <w:pStyle w:val="null3"/>
        <w:jc w:val="both"/>
      </w:pPr>
      <w:r>
        <w:rPr>
          <w:sz w:val="24"/>
        </w:rPr>
        <w:t>1、由于乙方管理或乙方作业人员自身责任造成的伤、残、亡事故，要立即向甲方报告，同时由乙方参照国家现行规定负责处理。</w:t>
      </w:r>
    </w:p>
    <w:p>
      <w:pPr>
        <w:pStyle w:val="null3"/>
        <w:jc w:val="both"/>
      </w:pPr>
      <w:r>
        <w:rPr>
          <w:sz w:val="24"/>
        </w:rPr>
        <w:t>2、由于乙方以外的责任造成乙方作业人员伤、残、亡事故的，由乙方参照国家现行规定处理。在事故责任确定后，乙方有权向责任方进行追偿。</w:t>
      </w:r>
    </w:p>
    <w:p>
      <w:pPr>
        <w:pStyle w:val="null3"/>
        <w:jc w:val="both"/>
      </w:pPr>
      <w:r>
        <w:rPr>
          <w:sz w:val="24"/>
        </w:rPr>
        <w:t>3、由于乙方或乙方作业人员违章指挥，违章作业或设备设施不完善造成甲方或第三者人员的伤亡事故，由乙方参照国家现行规定以雇主身份负责处理</w:t>
      </w:r>
      <w:r>
        <w:rPr>
          <w:sz w:val="24"/>
        </w:rPr>
        <w:t>。</w:t>
      </w:r>
    </w:p>
    <w:p>
      <w:pPr>
        <w:pStyle w:val="null3"/>
        <w:jc w:val="both"/>
      </w:pPr>
      <w:r>
        <w:rPr>
          <w:sz w:val="24"/>
        </w:rPr>
        <w:t>八、</w:t>
      </w:r>
      <w:r>
        <w:rPr>
          <w:sz w:val="24"/>
        </w:rPr>
        <w:t>违约责任</w:t>
      </w:r>
    </w:p>
    <w:p>
      <w:pPr>
        <w:pStyle w:val="null3"/>
        <w:jc w:val="both"/>
      </w:pPr>
      <w:r>
        <w:rPr>
          <w:sz w:val="24"/>
        </w:rPr>
        <w:t>1、乙方提供的服务不符合采购文件、报价文件或本合同规定的，甲方有权拒收，并且乙方须向甲方支付本合同总价3%的违约金。</w:t>
      </w:r>
    </w:p>
    <w:p>
      <w:pPr>
        <w:pStyle w:val="null3"/>
        <w:jc w:val="both"/>
      </w:pPr>
      <w:r>
        <w:rPr>
          <w:sz w:val="24"/>
        </w:rPr>
        <w:t>2、乙方未能按本合同规定的服务时间开始提供服务，从逾期之日起每日按本合同总价3‰的数额向甲方支付违约金；逾期半个月以上的，甲方有权终止合同，由此造成的甲方经济损失由乙方承担。</w:t>
      </w:r>
    </w:p>
    <w:p>
      <w:pPr>
        <w:pStyle w:val="null3"/>
        <w:jc w:val="both"/>
      </w:pPr>
      <w:r>
        <w:rPr>
          <w:sz w:val="24"/>
        </w:rPr>
        <w:t>3、甲方无正当理由拒收货物/接受服务，到期拒付货物/服务款项的，甲方向乙方偿付本合同总的5%的违约金。甲方逾期付款，则每日按本合同总价的3‰向乙方偿付违约金，但因财政性资金延迟拨付的情形除外。</w:t>
      </w:r>
    </w:p>
    <w:p>
      <w:pPr>
        <w:pStyle w:val="null3"/>
        <w:jc w:val="both"/>
      </w:pPr>
      <w:r>
        <w:rPr>
          <w:sz w:val="24"/>
        </w:rPr>
        <w:t>4、其它违约责任按《中华人民共和国民法典》处理。</w:t>
      </w:r>
    </w:p>
    <w:p>
      <w:pPr>
        <w:pStyle w:val="null3"/>
        <w:jc w:val="both"/>
      </w:pPr>
      <w:r>
        <w:rPr>
          <w:sz w:val="24"/>
        </w:rPr>
        <w:t>九、</w:t>
      </w:r>
      <w:r>
        <w:rPr>
          <w:sz w:val="24"/>
        </w:rPr>
        <w:t>争议解决</w:t>
      </w:r>
    </w:p>
    <w:p>
      <w:pPr>
        <w:pStyle w:val="null3"/>
        <w:jc w:val="both"/>
      </w:pPr>
      <w:r>
        <w:rPr>
          <w:sz w:val="24"/>
        </w:rPr>
        <w:t>合同执行过程中发生的任何争议，如双方不能通过友好协商解决，通过向甲方所在地人民法院提起诉讼解决。</w:t>
      </w:r>
    </w:p>
    <w:p>
      <w:pPr>
        <w:pStyle w:val="null3"/>
        <w:jc w:val="both"/>
      </w:pPr>
      <w:r>
        <w:rPr>
          <w:sz w:val="24"/>
        </w:rPr>
        <w:t>十、</w:t>
      </w:r>
      <w:r>
        <w:rPr>
          <w:sz w:val="24"/>
        </w:rPr>
        <w:t>不可抗力</w:t>
      </w:r>
    </w:p>
    <w:p>
      <w:pPr>
        <w:pStyle w:val="null3"/>
        <w:jc w:val="both"/>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r>
        <w:rPr>
          <w:sz w:val="24"/>
        </w:rPr>
        <w:t>。</w:t>
      </w:r>
    </w:p>
    <w:p>
      <w:pPr>
        <w:pStyle w:val="null3"/>
        <w:jc w:val="both"/>
      </w:pPr>
      <w:r>
        <w:rPr>
          <w:sz w:val="24"/>
        </w:rPr>
        <w:t>十一、税费</w:t>
      </w:r>
    </w:p>
    <w:p>
      <w:pPr>
        <w:pStyle w:val="null3"/>
        <w:jc w:val="both"/>
      </w:pPr>
      <w:r>
        <w:rPr>
          <w:sz w:val="24"/>
        </w:rPr>
        <w:t>在中国境内、外发生的与本合同执行有关的一切税费均由乙方负担。</w:t>
      </w:r>
    </w:p>
    <w:p>
      <w:pPr>
        <w:pStyle w:val="null3"/>
        <w:jc w:val="both"/>
      </w:pPr>
      <w:r>
        <w:rPr>
          <w:sz w:val="24"/>
        </w:rPr>
        <w:t>十二、其它</w:t>
      </w:r>
    </w:p>
    <w:p>
      <w:pPr>
        <w:pStyle w:val="null3"/>
        <w:jc w:val="both"/>
      </w:pPr>
      <w:r>
        <w:rPr>
          <w:sz w:val="24"/>
        </w:rPr>
        <w:t>1、本合同所有附件、采购文件、投标文件、成交通知书通知书均为合同的有效组成部分，与本合同具有同等法律效力。</w:t>
      </w:r>
    </w:p>
    <w:p>
      <w:pPr>
        <w:pStyle w:val="null3"/>
        <w:jc w:val="both"/>
      </w:pPr>
      <w:r>
        <w:rPr>
          <w:sz w:val="24"/>
        </w:rPr>
        <w:t>2、在执行本合同的过程中，所有经双方签署确认的文件（包括会议纪要、补充协议、往来信函）即成为本合同的有效组成部分。</w:t>
      </w:r>
    </w:p>
    <w:p>
      <w:pPr>
        <w:pStyle w:val="null3"/>
        <w:jc w:val="both"/>
      </w:pPr>
      <w:r>
        <w:rPr>
          <w:sz w:val="24"/>
        </w:rPr>
        <w:t>3、如一方地址、电话、传真号码有变更，应在变更当日内书面通知对方，否则，应承担相应责任。</w:t>
      </w:r>
    </w:p>
    <w:p>
      <w:pPr>
        <w:pStyle w:val="null3"/>
        <w:jc w:val="both"/>
      </w:pPr>
      <w:r>
        <w:rPr>
          <w:sz w:val="24"/>
        </w:rPr>
        <w:t>4、除甲方事先书面同意外，乙方不得部分或全部转让其应履行的合同项下的义务。</w:t>
      </w:r>
    </w:p>
    <w:p>
      <w:pPr>
        <w:pStyle w:val="null3"/>
        <w:jc w:val="both"/>
      </w:pPr>
      <w:r>
        <w:rPr>
          <w:sz w:val="24"/>
        </w:rPr>
        <w:t>十三、合同生效</w:t>
      </w:r>
    </w:p>
    <w:p>
      <w:pPr>
        <w:pStyle w:val="null3"/>
        <w:jc w:val="both"/>
      </w:pPr>
      <w:r>
        <w:rPr>
          <w:sz w:val="24"/>
        </w:rPr>
        <w:t>1、本合同在甲乙双方法人代表或其授权代表签名或盖章盖章后生效。</w:t>
      </w:r>
    </w:p>
    <w:p>
      <w:pPr>
        <w:pStyle w:val="null3"/>
        <w:jc w:val="both"/>
      </w:pPr>
      <w:r>
        <w:rPr>
          <w:sz w:val="24"/>
        </w:rPr>
        <w:t>2、合同一式五份，甲乙双方各执二份，采购代理机构执一份，具有同等法津效应</w:t>
      </w:r>
      <w:r>
        <w:rPr>
          <w:sz w:val="27"/>
          <w:color w:val="222222"/>
        </w:rPr>
        <w:t>。</w:t>
      </w:r>
    </w:p>
    <w:p>
      <w:pPr>
        <w:pStyle w:val="null3"/>
        <w:spacing w:before="150" w:after="150"/>
        <w:ind w:left="0" w:right="0"/>
        <w:jc w:val="both"/>
      </w:pPr>
      <w:r>
        <w:rPr>
          <w:sz w:val="27"/>
          <w:color w:val="222222"/>
        </w:rPr>
        <w:t xml:space="preserve"> </w:t>
      </w:r>
    </w:p>
    <w:p>
      <w:pPr>
        <w:pStyle w:val="null3"/>
        <w:spacing w:before="0" w:after="0"/>
        <w:ind w:left="0" w:right="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乙方（盖章）：</w:t>
      </w:r>
    </w:p>
    <w:p>
      <w:pPr>
        <w:pStyle w:val="null3"/>
        <w:spacing w:before="0" w:after="0"/>
        <w:ind w:left="0" w:right="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代表：</w:t>
      </w:r>
    </w:p>
    <w:p>
      <w:pPr>
        <w:pStyle w:val="null3"/>
        <w:spacing w:before="0" w:after="0"/>
        <w:ind w:left="0" w:right="0"/>
        <w:jc w:val="both"/>
      </w:pPr>
      <w:r>
        <w:rPr>
          <w:sz w:val="27"/>
          <w:color w:val="222222"/>
        </w:rPr>
        <w:t>签订地点：</w:t>
      </w:r>
    </w:p>
    <w:p>
      <w:pPr>
        <w:pStyle w:val="null3"/>
        <w:spacing w:before="0" w:after="0"/>
        <w:ind w:left="0" w:right="0"/>
        <w:jc w:val="both"/>
      </w:pPr>
      <w:r>
        <w:rPr>
          <w:sz w:val="27"/>
          <w:color w:val="222222"/>
        </w:rPr>
        <w:t>签订日期：　　　年　　月　　日</w:t>
      </w:r>
      <w:r>
        <w:rPr>
          <w:sz w:val="27"/>
          <w:color w:val="222222"/>
        </w:rPr>
        <w:t xml:space="preserve"> </w:t>
      </w:r>
      <w:r>
        <w:rPr>
          <w:sz w:val="27"/>
          <w:color w:val="222222"/>
        </w:rPr>
        <w:t xml:space="preserve"> 签订日期：　　　年　　月　　日</w:t>
      </w:r>
    </w:p>
    <w:p>
      <w:pPr>
        <w:pStyle w:val="null3"/>
        <w:spacing w:before="0" w:after="0"/>
        <w:ind w:left="0" w:right="0"/>
        <w:jc w:val="both"/>
      </w:pPr>
      <w:r>
        <w:rPr>
          <w:sz w:val="27"/>
          <w:color w:val="222222"/>
        </w:rPr>
        <w:t>开户名称：</w:t>
      </w:r>
    </w:p>
    <w:p>
      <w:pPr>
        <w:pStyle w:val="null3"/>
        <w:spacing w:before="0" w:after="0"/>
        <w:ind w:left="0" w:right="0"/>
        <w:jc w:val="both"/>
      </w:pPr>
      <w:r>
        <w:rPr>
          <w:sz w:val="27"/>
          <w:color w:val="222222"/>
        </w:rPr>
        <w:t>银行帐号：</w:t>
      </w:r>
    </w:p>
    <w:p>
      <w:pPr>
        <w:pStyle w:val="null3"/>
        <w:spacing w:before="0" w:after="0"/>
        <w:ind w:left="0" w:right="0"/>
        <w:jc w:val="both"/>
      </w:pPr>
      <w:r>
        <w:rPr>
          <w:sz w:val="27"/>
          <w:color w:val="222222"/>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440507-2025-00228</w:t>
      </w:r>
    </w:p>
    <w:p>
      <w:pPr>
        <w:pStyle w:val="null3"/>
        <w:jc w:val="center"/>
        <w:outlineLvl w:val="3"/>
      </w:pPr>
      <w:r>
        <w:rPr>
          <w:sz w:val="24"/>
          <w:b/>
        </w:rPr>
        <w:t>采购项目编号：</w:t>
      </w:r>
      <w:r>
        <w:rPr>
          <w:sz w:val="24"/>
          <w:b/>
        </w:rPr>
        <w:t>TZC250326STCG022G</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同致诚工程咨询有限公司</w:t>
      </w:r>
    </w:p>
    <w:p>
      <w:pPr>
        <w:pStyle w:val="null3"/>
        <w:ind w:firstLine="480"/>
      </w:pPr>
      <w:r>
        <w:rPr/>
        <w:t xml:space="preserve"> 你方组织的</w:t>
      </w:r>
      <w:r>
        <w:rPr>
          <w:u w:val="single"/>
        </w:rPr>
        <w:t>“</w:t>
      </w:r>
      <w:r>
        <w:rPr>
          <w:u w:val="single"/>
        </w:rPr>
        <w:t>汕头市龙湖区司法局购买司法协理员服务项目</w:t>
      </w:r>
      <w:r>
        <w:rPr>
          <w:u w:val="single"/>
        </w:rPr>
        <w:t>”</w:t>
      </w:r>
      <w:r>
        <w:rPr/>
        <w:t>项目的招标[采购项目编号为：</w:t>
      </w:r>
      <w:r>
        <w:rPr>
          <w:u w:val="single"/>
        </w:rPr>
        <w:t>TZC250326STCG022G</w:t>
      </w:r>
      <w:r>
        <w:rPr/>
        <w:t>]，我方愿参与投标。</w:t>
      </w:r>
    </w:p>
    <w:p>
      <w:pPr>
        <w:pStyle w:val="null3"/>
        <w:ind w:firstLine="480"/>
      </w:pPr>
      <w:r>
        <w:rPr/>
        <w:t>我方确认收到贵方提供的</w:t>
      </w:r>
      <w:r>
        <w:rPr>
          <w:u w:val="single"/>
        </w:rPr>
        <w:t>“</w:t>
      </w:r>
      <w:r>
        <w:rPr>
          <w:u w:val="single"/>
        </w:rPr>
        <w:t>汕头市龙湖区司法局购买司法协理员服务项目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同致诚工程咨询有限公司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汕头市龙湖区司法局购买司法协理员服务项目</w:t>
      </w:r>
      <w:r>
        <w:rPr/>
        <w:t>”项目采购[采购项目编号为</w:t>
      </w:r>
      <w:r>
        <w:rPr/>
        <w:t>TZC250326STCG022G</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汕头市龙湖区司法局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同致诚工程咨询有限公司</w:t>
      </w:r>
    </w:p>
    <w:p>
      <w:pPr>
        <w:pStyle w:val="null3"/>
        <w:ind w:firstLine="480"/>
      </w:pPr>
      <w:r>
        <w:rPr/>
        <w:t xml:space="preserve"> 如果我方在贵采购代理机构组织的</w:t>
      </w:r>
      <w:r>
        <w:rPr/>
        <w:t>汕头市龙湖区司法局购买司法协理员服务项目</w:t>
      </w:r>
      <w:r>
        <w:rPr/>
        <w:t>招标中获中标（采购项目编号：</w:t>
      </w:r>
      <w:r>
        <w:rPr/>
        <w:t>TZC250326STCG022G</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同致诚工程咨询有限公司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同致诚工程咨询有限公司</w:t>
      </w:r>
    </w:p>
    <w:p>
      <w:pPr>
        <w:pStyle w:val="null3"/>
        <w:ind w:firstLine="480"/>
      </w:pPr>
      <w:r>
        <w:rPr/>
        <w:t>我单位已登记并准备参与“</w:t>
      </w:r>
      <w:r>
        <w:rPr/>
        <w:t>汕头市龙湖区司法局购买司法协理员服务项目</w:t>
      </w:r>
      <w:r>
        <w:rPr/>
        <w:t>”项目（采购项目编号：</w:t>
      </w:r>
      <w:r>
        <w:rPr/>
        <w:t>TZC250326STCG022G</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